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Default="007257E8" w:rsidP="007257E8">
      <w:pPr>
        <w:ind w:right="-2"/>
        <w:jc w:val="center"/>
        <w:rPr>
          <w:b/>
        </w:rPr>
      </w:pPr>
      <w:r w:rsidRPr="007257E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r w:rsidRPr="00026D8F">
        <w:rPr>
          <w:b/>
          <w:sz w:val="28"/>
        </w:rPr>
        <w:t>АДМИНИСТРАЦИЯГОРОДСКОГО ОКРУГА ЭЛЕКТРОСТАЛЬ</w:t>
      </w:r>
    </w:p>
    <w:p w:rsidR="007257E8" w:rsidRPr="00026D8F" w:rsidRDefault="007257E8" w:rsidP="007257E8">
      <w:pPr>
        <w:ind w:right="-2"/>
        <w:jc w:val="center"/>
        <w:rPr>
          <w:b/>
          <w:sz w:val="12"/>
          <w:szCs w:val="12"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proofErr w:type="gramStart"/>
      <w:r w:rsidRPr="00026D8F">
        <w:rPr>
          <w:b/>
          <w:sz w:val="28"/>
        </w:rPr>
        <w:t>МОСКОВСКОЙ  ОБЛАСТИ</w:t>
      </w:r>
      <w:proofErr w:type="gramEnd"/>
    </w:p>
    <w:p w:rsidR="007257E8" w:rsidRPr="00026D8F" w:rsidRDefault="007257E8" w:rsidP="007257E8">
      <w:pPr>
        <w:ind w:right="-2" w:firstLine="1701"/>
        <w:jc w:val="center"/>
        <w:rPr>
          <w:sz w:val="16"/>
          <w:szCs w:val="16"/>
        </w:rPr>
      </w:pPr>
    </w:p>
    <w:p w:rsidR="007257E8" w:rsidRPr="00026D8F" w:rsidRDefault="007257E8" w:rsidP="007257E8">
      <w:pPr>
        <w:ind w:right="-2"/>
        <w:jc w:val="center"/>
        <w:rPr>
          <w:b/>
          <w:sz w:val="44"/>
        </w:rPr>
      </w:pPr>
      <w:r w:rsidRPr="00026D8F">
        <w:rPr>
          <w:b/>
          <w:sz w:val="44"/>
        </w:rPr>
        <w:t>ПОСТАНОВЛЕНИЕ</w:t>
      </w:r>
    </w:p>
    <w:p w:rsidR="007257E8" w:rsidRPr="00026D8F" w:rsidRDefault="007257E8" w:rsidP="007257E8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7257E8" w:rsidRPr="00026D8F" w:rsidTr="002C6FC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3954B0" w:rsidRDefault="007257E8" w:rsidP="002C6FCF">
            <w:pPr>
              <w:ind w:right="-2"/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left="-108" w:right="-90"/>
              <w:jc w:val="center"/>
            </w:pPr>
            <w:r w:rsidRPr="00026D8F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right="-2"/>
              <w:jc w:val="center"/>
            </w:pPr>
          </w:p>
        </w:tc>
      </w:tr>
    </w:tbl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DA3242" w:rsidRDefault="00DA3242" w:rsidP="00DA3242">
      <w:pPr>
        <w:ind w:right="-2" w:firstLine="1701"/>
        <w:rPr>
          <w:sz w:val="12"/>
        </w:rPr>
      </w:pPr>
    </w:p>
    <w:p w:rsidR="00DA3242" w:rsidRDefault="00DA3242" w:rsidP="00DA3242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A0197B">
        <w:t xml:space="preserve">О внесении изменений в муниципальную программу </w:t>
      </w:r>
    </w:p>
    <w:p w:rsidR="00DA3242" w:rsidRDefault="00DA3242" w:rsidP="00DA324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A0197B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DA3242" w:rsidRPr="00A0197B" w:rsidRDefault="00DA3242" w:rsidP="00DA324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0197B">
        <w:rPr>
          <w:rFonts w:cs="Times New Roman"/>
        </w:rPr>
        <w:t>«Управление имуществом и муниципальными финансами»</w:t>
      </w:r>
      <w:bookmarkEnd w:id="0"/>
    </w:p>
    <w:p w:rsidR="00DA3242" w:rsidRPr="008B6216" w:rsidRDefault="00DA3242" w:rsidP="00DA3242">
      <w:pPr>
        <w:autoSpaceDE w:val="0"/>
        <w:autoSpaceDN w:val="0"/>
        <w:adjustRightInd w:val="0"/>
        <w:rPr>
          <w:rFonts w:cs="Times New Roman"/>
        </w:rPr>
      </w:pPr>
    </w:p>
    <w:p w:rsidR="00DA3242" w:rsidRPr="008B6216" w:rsidRDefault="00DA3242" w:rsidP="00C128DC">
      <w:pPr>
        <w:ind w:firstLine="709"/>
        <w:jc w:val="both"/>
      </w:pPr>
      <w:r w:rsidRPr="008B6216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C19CB">
        <w:t>14.05.2021</w:t>
      </w:r>
      <w:r w:rsidRPr="008B6216">
        <w:t xml:space="preserve"> №</w:t>
      </w:r>
      <w:r w:rsidR="006C19CB">
        <w:t>378/5</w:t>
      </w:r>
      <w:r w:rsidRPr="008B6216">
        <w:t xml:space="preserve">, </w:t>
      </w:r>
      <w:r w:rsidRPr="008B6216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8B6216">
        <w:rPr>
          <w:kern w:val="16"/>
        </w:rPr>
        <w:t xml:space="preserve">, Администрация </w:t>
      </w:r>
      <w:r w:rsidRPr="008B6216">
        <w:t>городского округа Электросталь Московской области ПОСТАНОВЛЯЕТ: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1. Внести </w:t>
      </w:r>
      <w:hyperlink r:id="rId9" w:history="1">
        <w:r w:rsidRPr="008B6216">
          <w:rPr>
            <w:rFonts w:cs="Times New Roman"/>
          </w:rPr>
          <w:t>изменения</w:t>
        </w:r>
      </w:hyperlink>
      <w:r w:rsidRPr="008B6216">
        <w:rPr>
          <w:rFonts w:cs="Times New Roman"/>
        </w:rPr>
        <w:t xml:space="preserve"> в </w:t>
      </w:r>
      <w:r w:rsidRPr="008B621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15.10.2020 №684/10, 11.01.2021 №2/1</w:t>
      </w:r>
      <w:r>
        <w:t>, от 24.02.2021 №139/2</w:t>
      </w:r>
      <w:r w:rsidR="006C19CB">
        <w:t>, от 26.05.2021 №408/5</w:t>
      </w:r>
      <w:r w:rsidR="00441CEA">
        <w:t>, 04.08.2021 №614/8</w:t>
      </w:r>
      <w:r w:rsidRPr="008B6216">
        <w:t xml:space="preserve">), </w:t>
      </w:r>
      <w:r w:rsidRPr="008B621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</w:t>
      </w:r>
      <w:r w:rsidRPr="008B621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B6216">
          <w:rPr>
            <w:rStyle w:val="a9"/>
            <w:color w:val="auto"/>
            <w:u w:val="none"/>
          </w:rPr>
          <w:t>www.electrostal.ru</w:t>
        </w:r>
      </w:hyperlink>
      <w:r w:rsidRPr="008B6216">
        <w:t>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3. </w:t>
      </w:r>
      <w:r w:rsidRPr="008B6216">
        <w:t>Настоящее постановление вступает в силу на следующий день после его официального опубликования.</w:t>
      </w:r>
    </w:p>
    <w:p w:rsidR="00DA3242" w:rsidRPr="008B6216" w:rsidRDefault="00DA3242" w:rsidP="00C128DC">
      <w:pPr>
        <w:ind w:firstLine="540"/>
        <w:jc w:val="both"/>
      </w:pPr>
      <w:r w:rsidRPr="008B621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8B6216">
        <w:rPr>
          <w:rFonts w:cs="Times New Roman"/>
        </w:rPr>
        <w:t>Печникову</w:t>
      </w:r>
      <w:proofErr w:type="spellEnd"/>
      <w:r w:rsidRPr="008B6216">
        <w:rPr>
          <w:rFonts w:cs="Times New Roman"/>
        </w:rPr>
        <w:t xml:space="preserve"> О.В.</w:t>
      </w:r>
    </w:p>
    <w:p w:rsidR="00DA3242" w:rsidRDefault="00DA3242" w:rsidP="00DA3242">
      <w:pPr>
        <w:tabs>
          <w:tab w:val="center" w:pos="4677"/>
        </w:tabs>
        <w:jc w:val="both"/>
      </w:pPr>
    </w:p>
    <w:p w:rsidR="00DA3242" w:rsidRDefault="00DA3242" w:rsidP="00DA3242">
      <w:pPr>
        <w:tabs>
          <w:tab w:val="center" w:pos="4677"/>
        </w:tabs>
        <w:jc w:val="both"/>
      </w:pPr>
    </w:p>
    <w:p w:rsidR="00DA3242" w:rsidRPr="008B6216" w:rsidRDefault="00DA3242" w:rsidP="00DA3242">
      <w:pPr>
        <w:tabs>
          <w:tab w:val="center" w:pos="4677"/>
        </w:tabs>
        <w:jc w:val="both"/>
      </w:pPr>
      <w:r w:rsidRPr="008B6216">
        <w:t xml:space="preserve">Глава городского округа                                                                                 </w:t>
      </w:r>
      <w:proofErr w:type="spellStart"/>
      <w:r w:rsidRPr="008B6216">
        <w:t>И.Ю.Волкова</w:t>
      </w:r>
      <w:proofErr w:type="spellEnd"/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8B6216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0148DA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122EED" w:rsidRPr="002D3041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2D3041" w:rsidSect="002D3041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lastRenderedPageBreak/>
        <w:t>Приложение</w:t>
      </w:r>
    </w:p>
    <w:p w:rsidR="002D3041" w:rsidRPr="008B6216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8B6216" w:rsidRDefault="007257E8" w:rsidP="00EE55C3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__________ №___________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«УТВЕРЖДЕНА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E066C" w:rsidRPr="008B6216" w:rsidRDefault="00EE55C3" w:rsidP="00EE55C3">
      <w:pPr>
        <w:ind w:left="9356"/>
        <w:outlineLvl w:val="0"/>
      </w:pPr>
      <w:r w:rsidRPr="008B6216">
        <w:rPr>
          <w:rFonts w:cs="Times New Roman"/>
        </w:rPr>
        <w:t xml:space="preserve">от 16.12.2019 № 957/12 </w:t>
      </w:r>
      <w:r w:rsidRPr="008B6216">
        <w:t>(в редакции постановлени</w:t>
      </w:r>
      <w:r w:rsidR="003E066C" w:rsidRPr="008B6216">
        <w:t>й</w:t>
      </w:r>
      <w:r w:rsidRPr="008B6216">
        <w:t xml:space="preserve"> Администрации городского округа Электросталь Московской области от 14.02.2020 №85/2</w:t>
      </w:r>
      <w:r w:rsidR="00AB75F9" w:rsidRPr="008B6216">
        <w:t xml:space="preserve">, </w:t>
      </w:r>
    </w:p>
    <w:p w:rsidR="006C19CB" w:rsidRDefault="00372F9E" w:rsidP="00EE55C3">
      <w:pPr>
        <w:ind w:left="9356"/>
        <w:outlineLvl w:val="0"/>
      </w:pPr>
      <w:r w:rsidRPr="008B6216">
        <w:t xml:space="preserve">от </w:t>
      </w:r>
      <w:r w:rsidR="00AB75F9" w:rsidRPr="008B6216">
        <w:t>23.03.2020 №203/3</w:t>
      </w:r>
      <w:r w:rsidR="003E066C" w:rsidRPr="008B6216">
        <w:t>, от 21.04.2020 №267/4</w:t>
      </w:r>
      <w:r w:rsidR="00B6206B" w:rsidRPr="008B6216">
        <w:t xml:space="preserve">, </w:t>
      </w:r>
    </w:p>
    <w:p w:rsidR="006C19CB" w:rsidRDefault="00B6206B" w:rsidP="00EE55C3">
      <w:pPr>
        <w:ind w:left="9356"/>
        <w:outlineLvl w:val="0"/>
      </w:pPr>
      <w:r w:rsidRPr="008B6216">
        <w:t>от 23.06.2020 №393/6</w:t>
      </w:r>
      <w:r w:rsidR="007255E4" w:rsidRPr="008B6216">
        <w:t xml:space="preserve">, </w:t>
      </w:r>
      <w:r w:rsidR="006C19CB">
        <w:t xml:space="preserve">от </w:t>
      </w:r>
      <w:r w:rsidR="007255E4" w:rsidRPr="008B6216">
        <w:t>15.10.2020 №684/10</w:t>
      </w:r>
      <w:r w:rsidR="0012410F" w:rsidRPr="008B6216">
        <w:t xml:space="preserve">, </w:t>
      </w:r>
    </w:p>
    <w:p w:rsidR="006C19CB" w:rsidRDefault="006C19CB" w:rsidP="00EE55C3">
      <w:pPr>
        <w:ind w:left="9356"/>
        <w:outlineLvl w:val="0"/>
      </w:pPr>
      <w:r>
        <w:t xml:space="preserve">от </w:t>
      </w:r>
      <w:r w:rsidR="0012410F" w:rsidRPr="008B6216">
        <w:t>11.01.2021 №2/1</w:t>
      </w:r>
      <w:r w:rsidR="00087B69">
        <w:t xml:space="preserve">, </w:t>
      </w:r>
      <w:r>
        <w:t xml:space="preserve">от </w:t>
      </w:r>
      <w:r w:rsidR="00087B69">
        <w:t>24.02.2021 №139/2</w:t>
      </w:r>
      <w:r w:rsidR="00F81F84">
        <w:t>,</w:t>
      </w:r>
    </w:p>
    <w:p w:rsidR="00EE55C3" w:rsidRPr="008B6216" w:rsidRDefault="006C19CB" w:rsidP="00EE55C3">
      <w:pPr>
        <w:ind w:left="9356"/>
        <w:outlineLvl w:val="0"/>
        <w:rPr>
          <w:rFonts w:cs="Times New Roman"/>
        </w:rPr>
      </w:pPr>
      <w:r>
        <w:t>от 26.05.2021 №408/5</w:t>
      </w:r>
      <w:r w:rsidR="00441CEA">
        <w:t>, от 04.08.2021 №614/8</w:t>
      </w:r>
      <w:r w:rsidR="00EE55C3" w:rsidRPr="008B6216">
        <w:t>)</w:t>
      </w:r>
    </w:p>
    <w:p w:rsidR="00EE55C3" w:rsidRPr="008B6216" w:rsidRDefault="00EE55C3" w:rsidP="00EE55C3">
      <w:pPr>
        <w:outlineLvl w:val="0"/>
        <w:rPr>
          <w:rFonts w:cs="Times New Roman"/>
        </w:rPr>
      </w:pP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6C1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093CA5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093CA5" w:rsidRPr="008B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093CA5" w:rsidRPr="008B6216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proofErr w:type="gramStart"/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  </w:t>
            </w:r>
            <w:proofErr w:type="gramEnd"/>
          </w:p>
        </w:tc>
      </w:tr>
      <w:tr w:rsidR="00EE55C3" w:rsidRPr="008B6216" w:rsidTr="00EB6DE6">
        <w:tc>
          <w:tcPr>
            <w:tcW w:w="3685" w:type="dxa"/>
            <w:vMerge w:val="restart"/>
          </w:tcPr>
          <w:p w:rsidR="00EE55C3" w:rsidRPr="008B6216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8B6216" w:rsidTr="00EB6DE6">
        <w:tc>
          <w:tcPr>
            <w:tcW w:w="3685" w:type="dxa"/>
            <w:vMerge/>
          </w:tcPr>
          <w:p w:rsidR="00EE55C3" w:rsidRPr="008B6216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14F5E" w:rsidRPr="008B6216" w:rsidTr="00EB6DE6">
        <w:trPr>
          <w:trHeight w:val="834"/>
        </w:trPr>
        <w:tc>
          <w:tcPr>
            <w:tcW w:w="3685" w:type="dxa"/>
          </w:tcPr>
          <w:p w:rsidR="00F14F5E" w:rsidRPr="00EB08EE" w:rsidRDefault="00F14F5E" w:rsidP="00D94C25">
            <w:pPr>
              <w:rPr>
                <w:rFonts w:cs="Times New Roman"/>
              </w:rPr>
            </w:pPr>
            <w:r w:rsidRPr="00EB08E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</w:tcPr>
          <w:p w:rsidR="00F14F5E" w:rsidRPr="00EB08EE" w:rsidRDefault="003B2E77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7C2A">
              <w:rPr>
                <w:sz w:val="22"/>
                <w:szCs w:val="22"/>
              </w:rPr>
              <w:t> 274 146,8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493 382,3</w:t>
            </w:r>
          </w:p>
        </w:tc>
        <w:tc>
          <w:tcPr>
            <w:tcW w:w="1701" w:type="dxa"/>
          </w:tcPr>
          <w:p w:rsidR="00F14F5E" w:rsidRPr="00EB08EE" w:rsidRDefault="00667C2A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484 196,0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438 185,5</w:t>
            </w:r>
          </w:p>
        </w:tc>
        <w:tc>
          <w:tcPr>
            <w:tcW w:w="1701" w:type="dxa"/>
          </w:tcPr>
          <w:p w:rsidR="00F14F5E" w:rsidRPr="00EB08EE" w:rsidRDefault="00F14F5E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</w:tr>
      <w:tr w:rsidR="00CF1421" w:rsidRPr="008B6216" w:rsidTr="00EB6DE6">
        <w:tc>
          <w:tcPr>
            <w:tcW w:w="3685" w:type="dxa"/>
          </w:tcPr>
          <w:p w:rsidR="00CF1421" w:rsidRPr="00EB08EE" w:rsidRDefault="00CF1421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985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</w:tr>
      <w:tr w:rsidR="00F14F5E" w:rsidRPr="008B6216" w:rsidTr="00EB6DE6">
        <w:tc>
          <w:tcPr>
            <w:tcW w:w="3685" w:type="dxa"/>
          </w:tcPr>
          <w:p w:rsidR="00F14F5E" w:rsidRPr="00EB08EE" w:rsidRDefault="00F14F5E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</w:tcPr>
          <w:p w:rsidR="00F14F5E" w:rsidRPr="00EB08EE" w:rsidRDefault="003B2E77" w:rsidP="0066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7C2A">
              <w:rPr>
                <w:sz w:val="22"/>
                <w:szCs w:val="22"/>
              </w:rPr>
              <w:t> 293 967,8</w:t>
            </w: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497 459,3</w:t>
            </w:r>
          </w:p>
        </w:tc>
        <w:tc>
          <w:tcPr>
            <w:tcW w:w="1701" w:type="dxa"/>
          </w:tcPr>
          <w:p w:rsidR="00F14F5E" w:rsidRPr="00EB08EE" w:rsidRDefault="00667C2A" w:rsidP="00EB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488 132,0</w:t>
            </w:r>
          </w:p>
        </w:tc>
        <w:tc>
          <w:tcPr>
            <w:tcW w:w="1701" w:type="dxa"/>
          </w:tcPr>
          <w:p w:rsidR="00F14F5E" w:rsidRPr="00EB08EE" w:rsidRDefault="00F14F5E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442 121,5</w:t>
            </w:r>
          </w:p>
        </w:tc>
        <w:tc>
          <w:tcPr>
            <w:tcW w:w="1701" w:type="dxa"/>
          </w:tcPr>
          <w:p w:rsidR="00F14F5E" w:rsidRPr="00EB08EE" w:rsidRDefault="00F14F5E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</w:tr>
    </w:tbl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21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8B6216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lastRenderedPageBreak/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>муниципальной программы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21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B621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8B6216" w:rsidRDefault="0086777A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A6209D">
        <w:rPr>
          <w:rFonts w:ascii="Times New Roman" w:hAnsi="Times New Roman" w:cs="Times New Roman"/>
          <w:sz w:val="24"/>
          <w:szCs w:val="24"/>
        </w:rPr>
        <w:t xml:space="preserve">показателей муниципальной программы </w:t>
      </w:r>
      <w:r w:rsidRPr="008B6216">
        <w:rPr>
          <w:rFonts w:ascii="Times New Roman" w:hAnsi="Times New Roman" w:cs="Times New Roman"/>
          <w:sz w:val="24"/>
          <w:szCs w:val="24"/>
        </w:rPr>
        <w:t>осуществляется посредством реализации четырех подпрограмм.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Подпрограмма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>Подпрограмма</w:t>
      </w:r>
      <w:proofErr w:type="gramStart"/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>«</w:t>
      </w:r>
      <w:proofErr w:type="gramEnd"/>
      <w:r w:rsidRPr="008B621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с обоснованием необходимости их осуществления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Подпрограммой </w:t>
      </w:r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 xml:space="preserve"> «Обеспечивающая </w:t>
      </w:r>
      <w:proofErr w:type="spellStart"/>
      <w:proofErr w:type="gramStart"/>
      <w:r w:rsidRPr="008B6216">
        <w:rPr>
          <w:rFonts w:cs="Times New Roman"/>
        </w:rPr>
        <w:t>подпрограмма»предусматривается</w:t>
      </w:r>
      <w:proofErr w:type="spellEnd"/>
      <w:proofErr w:type="gramEnd"/>
      <w:r w:rsidRPr="008B6216">
        <w:rPr>
          <w:rFonts w:cs="Times New Roman"/>
        </w:rPr>
        <w:t xml:space="preserve"> реализация следующего основного мероприятия:</w:t>
      </w:r>
    </w:p>
    <w:p w:rsidR="00122EED" w:rsidRPr="008B6216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8B6216" w:rsidRDefault="00122EED">
      <w:pPr>
        <w:rPr>
          <w:rFonts w:cs="Times New Roman"/>
          <w:szCs w:val="20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A81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</w:rPr>
        <w:lastRenderedPageBreak/>
        <w:t xml:space="preserve">6. </w:t>
      </w:r>
      <w:r w:rsidR="00A81CDF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8B6216" w:rsidTr="00EB6DE6">
        <w:tc>
          <w:tcPr>
            <w:tcW w:w="5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8B6216" w:rsidRDefault="00133D1B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8A2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8B6216" w:rsidTr="00EB6DE6">
        <w:tc>
          <w:tcPr>
            <w:tcW w:w="569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8B6216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8B6216">
              <w:rPr>
                <w:rFonts w:cs="Times New Roman"/>
                <w:sz w:val="22"/>
                <w:szCs w:val="22"/>
              </w:rPr>
              <w:t>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8B6216" w:rsidRDefault="00D61F9F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8B6216" w:rsidRDefault="006C19CB" w:rsidP="00BD6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B621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8B6216" w:rsidRDefault="0013717A" w:rsidP="00FE35F6">
            <w:r w:rsidRPr="008B6216">
              <w:rPr>
                <w:rFonts w:eastAsiaTheme="minorEastAsia"/>
                <w:sz w:val="22"/>
              </w:rPr>
              <w:t>Доля</w:t>
            </w:r>
            <w:r w:rsidR="00BE743F" w:rsidRPr="008B6216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8B6216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предпринима</w:t>
            </w:r>
            <w:r w:rsidR="00046060">
              <w:rPr>
                <w:rFonts w:cs="Times New Roman"/>
                <w:sz w:val="22"/>
                <w:szCs w:val="22"/>
              </w:rPr>
              <w:t>-</w:t>
            </w:r>
            <w:r w:rsidRPr="008B6216">
              <w:rPr>
                <w:rFonts w:cs="Times New Roman"/>
                <w:sz w:val="22"/>
                <w:szCs w:val="22"/>
              </w:rPr>
              <w:t>тельской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B621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B621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8B6216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3,7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3,6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8B6216">
        <w:rPr>
          <w:rFonts w:cs="Times New Roman"/>
          <w:sz w:val="22"/>
        </w:rPr>
        <w:br w:type="page"/>
      </w:r>
      <w:r w:rsidRPr="008B6216">
        <w:rPr>
          <w:rFonts w:cs="Times New Roman"/>
        </w:rPr>
        <w:lastRenderedPageBreak/>
        <w:t xml:space="preserve">7. Методика расчета значений </w:t>
      </w:r>
      <w:r w:rsidR="00A6209D">
        <w:rPr>
          <w:rFonts w:cs="Times New Roman"/>
        </w:rPr>
        <w:t>показателей</w:t>
      </w:r>
      <w:r w:rsidRPr="008B6216">
        <w:rPr>
          <w:rFonts w:cs="Times New Roman"/>
        </w:rPr>
        <w:t xml:space="preserve">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FD661D" w:rsidTr="00543148">
        <w:trPr>
          <w:trHeight w:val="759"/>
        </w:trPr>
        <w:tc>
          <w:tcPr>
            <w:tcW w:w="693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FD661D" w:rsidRDefault="00EB6DE6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FD661D" w:rsidRDefault="004806E1" w:rsidP="004806E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8B6216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F21423" w:rsidRPr="008B6216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8B6216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EC7EC7" w:rsidRPr="008B6216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Cs w:val="28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8B621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8B6216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B621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наложенным штрафам.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Пз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8B6216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8B6216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8B6216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8B6216" w:rsidRDefault="00612CEB" w:rsidP="00612CEB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Рейтингование</w:t>
            </w:r>
            <w:proofErr w:type="spellEnd"/>
            <w:r w:rsidRPr="008B621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8B621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8B6216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 xml:space="preserve">, где 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КЗп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8B6216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8B621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B6216">
              <w:rPr>
                <w:rFonts w:ascii="Times New Roman" w:hAnsi="Times New Roman"/>
              </w:rPr>
              <w:t>и.т.п</w:t>
            </w:r>
            <w:proofErr w:type="spellEnd"/>
            <w:r w:rsidRPr="008B621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B6216">
              <w:rPr>
                <w:sz w:val="22"/>
                <w:szCs w:val="22"/>
              </w:rPr>
              <w:t>Минмособлимущества</w:t>
            </w:r>
            <w:proofErr w:type="spellEnd"/>
            <w:r w:rsidRPr="008B6216">
              <w:rPr>
                <w:sz w:val="22"/>
                <w:szCs w:val="22"/>
              </w:rPr>
              <w:t xml:space="preserve">. Расчет производится </w:t>
            </w:r>
            <w:r w:rsidRPr="008B621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8B6216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8B6216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B6216">
              <w:rPr>
                <w:rFonts w:cs="Times New Roman"/>
                <w:sz w:val="22"/>
                <w:szCs w:val="22"/>
              </w:rPr>
              <w:t>0</w:t>
            </w:r>
            <w:r w:rsidRPr="008B6216">
              <w:rPr>
                <w:sz w:val="22"/>
                <w:szCs w:val="22"/>
              </w:rPr>
              <w:t>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8B6216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B621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8B6216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B621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8B621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4806E1" w:rsidRPr="008B6216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B621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8B6216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8B6216" w:rsidRDefault="00A15B8D" w:rsidP="00A15B8D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Адр</w:t>
            </w:r>
            <w:proofErr w:type="spellEnd"/>
            <w:r w:rsidRPr="008B621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B6216">
              <w:rPr>
                <w:rFonts w:ascii="Times New Roman" w:hAnsi="Times New Roman"/>
              </w:rPr>
              <w:t>РГИС.Источник</w:t>
            </w:r>
            <w:proofErr w:type="spellEnd"/>
            <w:r w:rsidRPr="008B6216">
              <w:rPr>
                <w:rFonts w:ascii="Times New Roman" w:hAnsi="Times New Roman"/>
              </w:rPr>
              <w:t xml:space="preserve">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B6216">
              <w:rPr>
                <w:rFonts w:ascii="Times New Roman" w:hAnsi="Times New Roman"/>
              </w:rPr>
              <w:t>ОМСУ.Сведения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B621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8B621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1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2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3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B621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8B6216" w:rsidTr="00543148">
        <w:tc>
          <w:tcPr>
            <w:tcW w:w="693" w:type="dxa"/>
          </w:tcPr>
          <w:p w:rsidR="00A15B8D" w:rsidRPr="008B6216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Аобщ</w:t>
            </w:r>
            <w:proofErr w:type="spellEnd"/>
            <w:r w:rsidRPr="008B621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8B6216">
              <w:rPr>
                <w:sz w:val="22"/>
                <w:szCs w:val="22"/>
              </w:rPr>
              <w:t>Амсп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rFonts w:cs="Times New Roman"/>
                <w:sz w:val="22"/>
              </w:rPr>
              <w:t>Система ГАС «Управление»</w:t>
            </w:r>
            <w:r w:rsidRPr="008B6216">
              <w:rPr>
                <w:sz w:val="22"/>
              </w:rPr>
              <w:t>, ОМС,</w:t>
            </w:r>
          </w:p>
          <w:p w:rsidR="00AA1047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8B6216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8B6216">
              <w:rPr>
                <w:sz w:val="22"/>
              </w:rPr>
              <w:t xml:space="preserve">Комитет </w:t>
            </w:r>
            <w:r w:rsidRPr="008B6216">
              <w:rPr>
                <w:sz w:val="22"/>
              </w:rPr>
              <w:br/>
              <w:t>по конкурентной политике МО.</w:t>
            </w:r>
          </w:p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8B6216">
              <w:rPr>
                <w:rFonts w:cs="Times New Roman"/>
                <w:sz w:val="22"/>
              </w:rPr>
              <w:t>Московской области</w:t>
            </w:r>
            <w:r w:rsidRPr="008B621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8B6216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Муниципальный заказчик подпрограммы: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Ответственный за выполнение мероприятия: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9. Состав, форма и сроки представления отчетности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B6216">
        <w:rPr>
          <w:rFonts w:cs="Times New Roman"/>
        </w:rPr>
        <w:t>МОотчетность</w:t>
      </w:r>
      <w:proofErr w:type="spellEnd"/>
      <w:r w:rsidRPr="008B6216">
        <w:rPr>
          <w:rFonts w:cs="Times New Roman"/>
        </w:rPr>
        <w:t xml:space="preserve"> о реализации муниципальной программы. </w:t>
      </w:r>
    </w:p>
    <w:p w:rsidR="00122EED" w:rsidRPr="008B6216" w:rsidRDefault="00EE55C3" w:rsidP="00122EED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ind w:firstLine="9639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 xml:space="preserve">Приложение №1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534DF7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534DF7" w:rsidRPr="008B6216" w:rsidRDefault="00EE55C3" w:rsidP="00534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D94C25" w:rsidRPr="002618A2" w:rsidRDefault="00D94C25" w:rsidP="00D94C25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D94C25" w:rsidRPr="002618A2" w:rsidRDefault="00D94C25" w:rsidP="00D94C25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94C25" w:rsidRPr="00534DF7" w:rsidRDefault="00C87C5A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525 466,7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110 915,1</w:t>
            </w:r>
          </w:p>
        </w:tc>
        <w:tc>
          <w:tcPr>
            <w:tcW w:w="1276" w:type="dxa"/>
          </w:tcPr>
          <w:p w:rsidR="00D94C25" w:rsidRPr="00534DF7" w:rsidRDefault="00C87C5A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111 218,0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103 222,6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3204" w:type="dxa"/>
            <w:vMerge w:val="restart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C87C5A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505 645,7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106 838,1</w:t>
            </w:r>
          </w:p>
        </w:tc>
        <w:tc>
          <w:tcPr>
            <w:tcW w:w="1276" w:type="dxa"/>
          </w:tcPr>
          <w:p w:rsidR="00D94C25" w:rsidRPr="00534DF7" w:rsidRDefault="00C87C5A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107 282,0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99 286,6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CB047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D94C25" w:rsidRPr="00534DF7" w:rsidRDefault="0041530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454</w:t>
            </w:r>
            <w:r w:rsidR="00C87C5A">
              <w:rPr>
                <w:rFonts w:ascii="Times New Roman" w:hAnsi="Times New Roman" w:cs="Times New Roman"/>
                <w:szCs w:val="22"/>
              </w:rPr>
              <w:t> 538,7</w:t>
            </w:r>
          </w:p>
        </w:tc>
        <w:tc>
          <w:tcPr>
            <w:tcW w:w="1226" w:type="dxa"/>
          </w:tcPr>
          <w:p w:rsidR="00D94C25" w:rsidRPr="00534DF7" w:rsidRDefault="00601EE1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99 031,9</w:t>
            </w:r>
          </w:p>
        </w:tc>
        <w:tc>
          <w:tcPr>
            <w:tcW w:w="1276" w:type="dxa"/>
          </w:tcPr>
          <w:p w:rsidR="00D94C25" w:rsidRPr="00534DF7" w:rsidRDefault="008B77C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94 131,2</w:t>
            </w:r>
          </w:p>
        </w:tc>
        <w:tc>
          <w:tcPr>
            <w:tcW w:w="1276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88 307,4</w:t>
            </w:r>
          </w:p>
        </w:tc>
        <w:tc>
          <w:tcPr>
            <w:tcW w:w="1275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3204" w:type="dxa"/>
            <w:vMerge w:val="restart"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41530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</w:t>
            </w:r>
            <w:r w:rsidR="00C87C5A">
              <w:rPr>
                <w:rFonts w:ascii="Times New Roman" w:hAnsi="Times New Roman" w:cs="Times New Roman"/>
                <w:szCs w:val="22"/>
              </w:rPr>
              <w:t> 717,7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94 954,9</w:t>
            </w:r>
          </w:p>
        </w:tc>
        <w:tc>
          <w:tcPr>
            <w:tcW w:w="1276" w:type="dxa"/>
          </w:tcPr>
          <w:p w:rsidR="00D94C25" w:rsidRPr="00534DF7" w:rsidRDefault="0041530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  <w:r w:rsidR="00C87C5A">
              <w:rPr>
                <w:rFonts w:ascii="Times New Roman" w:hAnsi="Times New Roman" w:cs="Times New Roman"/>
                <w:szCs w:val="22"/>
              </w:rPr>
              <w:t> 195,2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84 371,4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D94C25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</w:t>
            </w:r>
            <w:r w:rsidR="00601EE1">
              <w:rPr>
                <w:rFonts w:ascii="Times New Roman" w:hAnsi="Times New Roman" w:cs="Times New Roman"/>
                <w:szCs w:val="22"/>
              </w:rPr>
              <w:t> 821,0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095CFB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49 599,0</w:t>
            </w:r>
          </w:p>
        </w:tc>
        <w:tc>
          <w:tcPr>
            <w:tcW w:w="1226" w:type="dxa"/>
          </w:tcPr>
          <w:p w:rsidR="00534DF7" w:rsidRPr="00534DF7" w:rsidRDefault="00601EE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534DF7" w:rsidRPr="00534DF7" w:rsidRDefault="00095CFB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11 184,6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5CFB" w:rsidRPr="002618A2" w:rsidTr="00D94C25">
        <w:tc>
          <w:tcPr>
            <w:tcW w:w="4478" w:type="dxa"/>
            <w:vAlign w:val="center"/>
          </w:tcPr>
          <w:p w:rsidR="00095CFB" w:rsidRPr="002618A2" w:rsidRDefault="00095CFB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49 599,0</w:t>
            </w:r>
          </w:p>
        </w:tc>
        <w:tc>
          <w:tcPr>
            <w:tcW w:w="122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11 184,6</w:t>
            </w:r>
          </w:p>
        </w:tc>
        <w:tc>
          <w:tcPr>
            <w:tcW w:w="1275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/>
          </w:tcPr>
          <w:p w:rsidR="00095CFB" w:rsidRPr="00534DF7" w:rsidRDefault="00095CFB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534DF7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</w:t>
            </w:r>
            <w:r w:rsidR="00C87C5A">
              <w:rPr>
                <w:rFonts w:ascii="Times New Roman" w:hAnsi="Times New Roman" w:cs="Times New Roman"/>
                <w:szCs w:val="22"/>
              </w:rPr>
              <w:t> 404,0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6 251,0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19 404,0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6 251,0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534DF7">
            <w:pPr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534DF7" w:rsidRPr="00534DF7" w:rsidRDefault="00534DF7" w:rsidP="0053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Уровень развития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B6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21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B6216">
        <w:rPr>
          <w:rFonts w:cs="Times New Roman"/>
        </w:rPr>
        <w:t>кв.метров</w:t>
      </w:r>
      <w:proofErr w:type="spellEnd"/>
      <w:r w:rsidRPr="008B621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8B6216">
        <w:rPr>
          <w:rFonts w:cs="Times New Roman"/>
        </w:rPr>
        <w:t>Кроме того</w:t>
      </w:r>
      <w:proofErr w:type="gramEnd"/>
      <w:r w:rsidRPr="008B6216">
        <w:rPr>
          <w:rFonts w:cs="Times New Roman"/>
        </w:rPr>
        <w:t xml:space="preserve"> дефицит земельных участков, </w:t>
      </w:r>
      <w:r w:rsidRPr="008B621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8B6216">
        <w:rPr>
          <w:rFonts w:cs="Times New Roman"/>
          <w:lang w:eastAsia="en-US"/>
        </w:rPr>
        <w:t>инвестиционно</w:t>
      </w:r>
      <w:proofErr w:type="spellEnd"/>
      <w:r w:rsidRPr="008B621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B6216">
        <w:rPr>
          <w:rFonts w:cs="Times New Roman"/>
          <w:lang w:eastAsia="en-US"/>
        </w:rPr>
        <w:t>имущество,  полученное</w:t>
      </w:r>
      <w:proofErr w:type="gramEnd"/>
      <w:r w:rsidRPr="008B621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8B6216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8B6216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B621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3B8A" w:rsidRPr="008B6216" w:rsidTr="00FD661D">
        <w:tc>
          <w:tcPr>
            <w:tcW w:w="426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801C8" w:rsidRPr="008B6216" w:rsidTr="00FD661D">
        <w:tc>
          <w:tcPr>
            <w:tcW w:w="426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801C8" w:rsidRPr="00EB08EE" w:rsidRDefault="006E1CA5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352 019,0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2B3567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E801C8" w:rsidRPr="00EB08EE" w:rsidRDefault="006E1CA5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75 968,6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6E1CA5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352 019,0</w:t>
            </w:r>
          </w:p>
          <w:p w:rsidR="00483B8A" w:rsidRPr="00EB08EE" w:rsidRDefault="00483B8A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483B8A" w:rsidRPr="00EB08EE" w:rsidRDefault="006E1CA5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75 968,6</w:t>
            </w:r>
          </w:p>
          <w:p w:rsidR="00483B8A" w:rsidRPr="00EB08EE" w:rsidRDefault="00483B8A" w:rsidP="00445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483B8A" w:rsidP="00A76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с  владением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пользованием и распоряжением имуществом,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EB08EE" w:rsidRDefault="00C25869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212 281,2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7D1A4E" w:rsidRPr="00EB08EE" w:rsidRDefault="00C25869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45 343,6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сооружений. 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Содержание в работоспособном состоянии инженерных сетей зданий, находящихся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 xml:space="preserve">собственности 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городскогоокруга</w:t>
            </w:r>
            <w:proofErr w:type="spellEnd"/>
            <w:proofErr w:type="gramEnd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6421F9" w:rsidRPr="008B6216" w:rsidTr="00FD661D">
        <w:tc>
          <w:tcPr>
            <w:tcW w:w="426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421F9" w:rsidRPr="008B6216" w:rsidRDefault="006421F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6421F9" w:rsidRDefault="00C2586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212 176,1</w:t>
            </w:r>
          </w:p>
          <w:p w:rsidR="00C25869" w:rsidRPr="00EB08EE" w:rsidRDefault="00C2586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EB08EE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C25869" w:rsidRPr="00EB08EE" w:rsidRDefault="00C25869" w:rsidP="00C2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45 343,6</w:t>
            </w: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8B6216" w:rsidRDefault="00773462" w:rsidP="007D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</w:tc>
        <w:tc>
          <w:tcPr>
            <w:tcW w:w="992" w:type="dxa"/>
          </w:tcPr>
          <w:p w:rsidR="007D1A4E" w:rsidRPr="008B6216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3567">
              <w:rPr>
                <w:rFonts w:ascii="Times New Roman" w:hAnsi="Times New Roman" w:cs="Times New Roman"/>
                <w:sz w:val="20"/>
              </w:rPr>
              <w:t>5 503,7</w:t>
            </w:r>
          </w:p>
        </w:tc>
        <w:tc>
          <w:tcPr>
            <w:tcW w:w="992" w:type="dxa"/>
          </w:tcPr>
          <w:p w:rsidR="00483B8A" w:rsidRPr="008B6216" w:rsidRDefault="007D1A4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96E" w:rsidRPr="008B6216" w:rsidTr="00FD661D">
        <w:tc>
          <w:tcPr>
            <w:tcW w:w="426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июля 2007 г. №221-ФЗ «О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1267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596E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31596E" w:rsidRPr="008B6216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483B8A" w:rsidRPr="008B6216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483B8A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483B8A" w:rsidRPr="008B6216" w:rsidRDefault="002B35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483B8A" w:rsidRPr="008B6216" w:rsidRDefault="00483B8A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D95693" w:rsidRDefault="00483B8A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D95693" w:rsidRPr="00D95693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Pr="00D9569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5D24E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773462">
              <w:rPr>
                <w:rFonts w:ascii="Times New Roman" w:hAnsi="Times New Roman" w:cs="Times New Roman"/>
                <w:sz w:val="20"/>
              </w:rPr>
              <w:t> 821,0</w:t>
            </w:r>
          </w:p>
        </w:tc>
        <w:tc>
          <w:tcPr>
            <w:tcW w:w="992" w:type="dxa"/>
          </w:tcPr>
          <w:p w:rsidR="00483B8A" w:rsidRPr="008B6216" w:rsidRDefault="002B35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5693" w:rsidRPr="008B6216" w:rsidTr="00FD661D">
        <w:tc>
          <w:tcPr>
            <w:tcW w:w="426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95693" w:rsidRPr="008B6216" w:rsidRDefault="00D9569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5693" w:rsidRPr="008B6216" w:rsidRDefault="00D95693" w:rsidP="00D95693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73462" w:rsidRPr="008B6216" w:rsidRDefault="00773462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73462" w:rsidRPr="008B6216" w:rsidRDefault="00773462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680" w:rsidRPr="008B6216" w:rsidTr="00FD661D">
        <w:tc>
          <w:tcPr>
            <w:tcW w:w="426" w:type="dxa"/>
            <w:vMerge/>
          </w:tcPr>
          <w:p w:rsidR="00190680" w:rsidRPr="008B6216" w:rsidRDefault="0019068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190680" w:rsidRPr="008B6216" w:rsidRDefault="0019068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90680" w:rsidRPr="008B6216" w:rsidRDefault="0019068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90680" w:rsidRPr="008B6216" w:rsidRDefault="00190680" w:rsidP="00EA036C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1 634,8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408,7</w:t>
            </w:r>
          </w:p>
        </w:tc>
        <w:tc>
          <w:tcPr>
            <w:tcW w:w="993" w:type="dxa"/>
          </w:tcPr>
          <w:p w:rsidR="00190680" w:rsidRPr="005D24EE" w:rsidRDefault="00190680" w:rsidP="00D94C25">
            <w:pPr>
              <w:jc w:val="center"/>
              <w:rPr>
                <w:sz w:val="20"/>
                <w:szCs w:val="20"/>
              </w:rPr>
            </w:pPr>
            <w:r w:rsidRPr="005D24EE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190680" w:rsidRPr="005D24EE" w:rsidRDefault="00190680" w:rsidP="00D94C25">
            <w:pPr>
              <w:jc w:val="center"/>
              <w:rPr>
                <w:sz w:val="20"/>
                <w:szCs w:val="20"/>
              </w:rPr>
            </w:pPr>
            <w:r w:rsidRPr="005D24EE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190680" w:rsidRPr="008B6216" w:rsidRDefault="0019068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90680" w:rsidRPr="008B6216" w:rsidRDefault="0019068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212" w:rsidRPr="008B6216" w:rsidTr="00FD661D">
        <w:tc>
          <w:tcPr>
            <w:tcW w:w="426" w:type="dxa"/>
            <w:vMerge w:val="restart"/>
          </w:tcPr>
          <w:p w:rsidR="00705212" w:rsidRPr="008B6216" w:rsidRDefault="0070521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мероприятие 07.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705212" w:rsidRPr="008B6216" w:rsidRDefault="0070521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05212" w:rsidRPr="00EB08EE" w:rsidRDefault="0043060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5212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705212" w:rsidRPr="00EB08EE" w:rsidRDefault="0043060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705212" w:rsidRPr="008B6216" w:rsidRDefault="0070521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705212" w:rsidRPr="008B6216" w:rsidRDefault="0070521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 w:val="restart"/>
          </w:tcPr>
          <w:p w:rsidR="00705212" w:rsidRPr="008B6216" w:rsidRDefault="00705212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Комитета имущественных отношений</w:t>
            </w:r>
            <w:r w:rsidR="00C258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430600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83B8A" w:rsidRPr="00EB08EE" w:rsidRDefault="00430600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0600" w:rsidRPr="008B6216" w:rsidTr="00FD661D">
        <w:tc>
          <w:tcPr>
            <w:tcW w:w="426" w:type="dxa"/>
            <w:vMerge w:val="restart"/>
          </w:tcPr>
          <w:p w:rsidR="00430600" w:rsidRPr="008B6216" w:rsidRDefault="0043060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430600" w:rsidRPr="008B6216" w:rsidRDefault="0043060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30600" w:rsidRDefault="00430600" w:rsidP="00430600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430600" w:rsidRPr="00EB08EE" w:rsidRDefault="0043060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430600" w:rsidRPr="008B6216" w:rsidRDefault="00430600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430600" w:rsidRPr="008B6216" w:rsidRDefault="00430600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0600" w:rsidRPr="008B6216" w:rsidTr="00FD661D">
        <w:tc>
          <w:tcPr>
            <w:tcW w:w="426" w:type="dxa"/>
            <w:vMerge/>
          </w:tcPr>
          <w:p w:rsidR="00430600" w:rsidRPr="008B6216" w:rsidRDefault="0043060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30600" w:rsidRPr="008B6216" w:rsidRDefault="0043060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30600" w:rsidRPr="008B6216" w:rsidRDefault="0043060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30600" w:rsidRPr="00EB08EE" w:rsidRDefault="00430600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30600" w:rsidRDefault="00430600" w:rsidP="00430600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430600" w:rsidRPr="00EB08EE" w:rsidRDefault="0043060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430600" w:rsidRPr="008B6216" w:rsidRDefault="00430600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430600" w:rsidRPr="008B6216" w:rsidRDefault="00430600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30600" w:rsidRPr="008B6216" w:rsidRDefault="0043060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680" w:rsidRPr="008B6216" w:rsidTr="00FD661D">
        <w:tc>
          <w:tcPr>
            <w:tcW w:w="426" w:type="dxa"/>
            <w:vMerge w:val="restart"/>
          </w:tcPr>
          <w:p w:rsidR="00190680" w:rsidRPr="008B6216" w:rsidRDefault="00190680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190680" w:rsidRPr="008B6216" w:rsidRDefault="00190680" w:rsidP="00591EC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190680" w:rsidRPr="008B6216" w:rsidRDefault="00190680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90680" w:rsidRPr="008B6216" w:rsidRDefault="00190680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90680" w:rsidRPr="005D24EE" w:rsidRDefault="00C25869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525 466,7</w:t>
            </w:r>
          </w:p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90680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110 915,1</w:t>
            </w:r>
          </w:p>
        </w:tc>
        <w:tc>
          <w:tcPr>
            <w:tcW w:w="992" w:type="dxa"/>
          </w:tcPr>
          <w:p w:rsidR="00190680" w:rsidRPr="00A23FA9" w:rsidRDefault="00C25869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111 218,0</w:t>
            </w:r>
          </w:p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103 222,6</w:t>
            </w:r>
          </w:p>
        </w:tc>
        <w:tc>
          <w:tcPr>
            <w:tcW w:w="993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3902" w:type="dxa"/>
            <w:gridSpan w:val="2"/>
            <w:vMerge w:val="restart"/>
          </w:tcPr>
          <w:p w:rsidR="00190680" w:rsidRPr="008B6216" w:rsidRDefault="00190680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3D" w:rsidRPr="008B6216" w:rsidTr="00FD661D">
        <w:tc>
          <w:tcPr>
            <w:tcW w:w="426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F483D" w:rsidRPr="008B6216" w:rsidRDefault="00CF483D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F483D" w:rsidRPr="008B6216" w:rsidRDefault="00CF483D" w:rsidP="003810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F483D" w:rsidRPr="005D24EE" w:rsidRDefault="006E1CA5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505 645,7</w:t>
            </w:r>
          </w:p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106 838,1</w:t>
            </w:r>
          </w:p>
        </w:tc>
        <w:tc>
          <w:tcPr>
            <w:tcW w:w="992" w:type="dxa"/>
          </w:tcPr>
          <w:p w:rsidR="00CF483D" w:rsidRPr="008B6216" w:rsidRDefault="00C25869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107 282,0</w:t>
            </w:r>
          </w:p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99 286,6</w:t>
            </w:r>
          </w:p>
        </w:tc>
        <w:tc>
          <w:tcPr>
            <w:tcW w:w="993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3902" w:type="dxa"/>
            <w:gridSpan w:val="2"/>
            <w:vMerge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3D" w:rsidRPr="008B6216" w:rsidTr="00FD661D">
        <w:tc>
          <w:tcPr>
            <w:tcW w:w="426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F483D" w:rsidRPr="008B6216" w:rsidRDefault="00CF483D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F483D" w:rsidRPr="008B6216" w:rsidRDefault="00CF483D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F483D" w:rsidRPr="008B6216" w:rsidRDefault="00CF483D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3902" w:type="dxa"/>
            <w:gridSpan w:val="2"/>
            <w:vMerge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Pr="008B6216" w:rsidRDefault="00EE55C3" w:rsidP="00EE55C3">
      <w:pPr>
        <w:spacing w:after="160" w:line="259" w:lineRule="auto"/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№2</w:t>
      </w:r>
    </w:p>
    <w:p w:rsidR="00EE55C3" w:rsidRPr="008B6216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383CF9" w:rsidRPr="002618A2" w:rsidRDefault="00383CF9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383CF9" w:rsidRPr="002618A2" w:rsidRDefault="00383CF9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83CF9" w:rsidRPr="001248C6" w:rsidRDefault="00383CF9" w:rsidP="00376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</w:t>
            </w:r>
            <w:r w:rsidR="00376F86">
              <w:rPr>
                <w:rFonts w:ascii="Times New Roman" w:hAnsi="Times New Roman" w:cs="Times New Roman"/>
                <w:szCs w:val="22"/>
              </w:rPr>
              <w:t> 036,4</w:t>
            </w:r>
          </w:p>
        </w:tc>
        <w:tc>
          <w:tcPr>
            <w:tcW w:w="1226" w:type="dxa"/>
          </w:tcPr>
          <w:p w:rsidR="00383CF9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383CF9" w:rsidRPr="001248C6" w:rsidRDefault="00383CF9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</w:t>
            </w:r>
            <w:r w:rsidR="003A0605">
              <w:rPr>
                <w:rFonts w:ascii="Times New Roman" w:hAnsi="Times New Roman" w:cs="Times New Roman"/>
                <w:szCs w:val="22"/>
              </w:rPr>
              <w:t> 036,6</w:t>
            </w:r>
          </w:p>
        </w:tc>
        <w:tc>
          <w:tcPr>
            <w:tcW w:w="1276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 w:val="restart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91DB1" w:rsidRPr="002618A2" w:rsidTr="00EB6DE6">
        <w:tc>
          <w:tcPr>
            <w:tcW w:w="4478" w:type="dxa"/>
          </w:tcPr>
          <w:p w:rsidR="00E91DB1" w:rsidRPr="002618A2" w:rsidRDefault="00E91DB1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91DB1" w:rsidRPr="001248C6" w:rsidRDefault="00376F86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6 036,4</w:t>
            </w:r>
          </w:p>
        </w:tc>
        <w:tc>
          <w:tcPr>
            <w:tcW w:w="1226" w:type="dxa"/>
          </w:tcPr>
          <w:p w:rsidR="00E91DB1" w:rsidRPr="001248C6" w:rsidRDefault="00E91DB1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E91DB1" w:rsidRPr="001248C6" w:rsidRDefault="00E91DB1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</w:t>
            </w:r>
            <w:r w:rsidR="003A0605">
              <w:rPr>
                <w:rFonts w:ascii="Times New Roman" w:hAnsi="Times New Roman" w:cs="Times New Roman"/>
                <w:szCs w:val="22"/>
              </w:rPr>
              <w:t> 036,6</w:t>
            </w:r>
          </w:p>
        </w:tc>
        <w:tc>
          <w:tcPr>
            <w:tcW w:w="1276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/>
          </w:tcPr>
          <w:p w:rsidR="00E91DB1" w:rsidRPr="002618A2" w:rsidRDefault="00E91DB1" w:rsidP="00EB6DE6">
            <w:pPr>
              <w:rPr>
                <w:rFonts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332,0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332,0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Администрации  городского</w:t>
            </w:r>
            <w:proofErr w:type="gramEnd"/>
            <w:r w:rsidRPr="001248C6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8B621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подпрограммы.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B6216">
        <w:rPr>
          <w:rFonts w:cs="Times New Roman"/>
        </w:rPr>
        <w:t>Московской области</w:t>
      </w:r>
      <w:r w:rsidRPr="008B621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8B6216" w:rsidRDefault="00EE55C3" w:rsidP="004B2642">
      <w:pPr>
        <w:jc w:val="center"/>
        <w:rPr>
          <w:rFonts w:cs="Times New Roman"/>
        </w:rPr>
      </w:pPr>
      <w:r w:rsidRPr="008B6216">
        <w:rPr>
          <w:rFonts w:cs="Times New Roman"/>
        </w:rPr>
        <w:br w:type="page"/>
      </w:r>
      <w:r w:rsidRPr="008B6216">
        <w:rPr>
          <w:rFonts w:cs="Times New Roman"/>
        </w:rPr>
        <w:lastRenderedPageBreak/>
        <w:t>3. Перечень мероприятий подпрограммы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4B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EB4068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6D7E3B">
              <w:rPr>
                <w:rFonts w:ascii="Times New Roman" w:hAnsi="Times New Roman" w:cs="Times New Roman"/>
                <w:sz w:val="20"/>
              </w:rPr>
              <w:t> 036,4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EB4068" w:rsidRPr="008B6216" w:rsidRDefault="00EB4068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6D7E3B">
              <w:rPr>
                <w:rFonts w:ascii="Times New Roman" w:hAnsi="Times New Roman" w:cs="Times New Roman"/>
                <w:sz w:val="20"/>
              </w:rPr>
              <w:t> 036,6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6D7E3B">
              <w:rPr>
                <w:rFonts w:ascii="Times New Roman" w:hAnsi="Times New Roman" w:cs="Times New Roman"/>
                <w:sz w:val="20"/>
              </w:rPr>
              <w:t> 036,4</w:t>
            </w:r>
          </w:p>
        </w:tc>
        <w:tc>
          <w:tcPr>
            <w:tcW w:w="992" w:type="dxa"/>
          </w:tcPr>
          <w:p w:rsidR="00EB4068" w:rsidRPr="008B6216" w:rsidRDefault="009F2EC8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1 036,6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4169" w:rsidRPr="008B6216" w:rsidTr="009F2EC8">
        <w:tc>
          <w:tcPr>
            <w:tcW w:w="568" w:type="dxa"/>
            <w:vMerge w:val="restart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84169" w:rsidRPr="008B6216" w:rsidRDefault="00484169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484169" w:rsidRPr="008B6216" w:rsidRDefault="00484169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484169" w:rsidRPr="008B6216" w:rsidTr="009F2EC8">
        <w:tc>
          <w:tcPr>
            <w:tcW w:w="568" w:type="dxa"/>
            <w:vMerge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574,7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146,0</w:t>
            </w:r>
          </w:p>
        </w:tc>
        <w:tc>
          <w:tcPr>
            <w:tcW w:w="992" w:type="dxa"/>
          </w:tcPr>
          <w:p w:rsidR="00484169" w:rsidRPr="008B6216" w:rsidRDefault="00484169" w:rsidP="0011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A2742E" w:rsidRPr="00484169" w:rsidRDefault="00A2742E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6D7E3B" w:rsidP="0014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5 216,6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6D7E3B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800,6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 w:rsidR="00467507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042099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5 216,6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35216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800,6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3 993,6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675,9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575,1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917,2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="00467507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EB4068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A2742E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742E" w:rsidRPr="00484169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172,0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:rsidR="00EB4068" w:rsidRPr="008B6216" w:rsidRDefault="00EB4068" w:rsidP="00C07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147,0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5C7DE0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="005C7DE0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5C7DE0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F2EC8" w:rsidRPr="008B6216" w:rsidTr="009F2EC8">
        <w:tc>
          <w:tcPr>
            <w:tcW w:w="568" w:type="dxa"/>
            <w:vMerge w:val="restart"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F2EC8" w:rsidRPr="008B6216" w:rsidRDefault="009F2EC8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145720">
              <w:rPr>
                <w:rFonts w:ascii="Times New Roman" w:hAnsi="Times New Roman" w:cs="Times New Roman"/>
                <w:sz w:val="20"/>
              </w:rPr>
              <w:t> </w:t>
            </w:r>
            <w:r w:rsidR="006D7E3B">
              <w:rPr>
                <w:rFonts w:ascii="Times New Roman" w:hAnsi="Times New Roman" w:cs="Times New Roman"/>
                <w:sz w:val="20"/>
              </w:rPr>
              <w:t>036,4</w:t>
            </w:r>
          </w:p>
        </w:tc>
        <w:tc>
          <w:tcPr>
            <w:tcW w:w="992" w:type="dxa"/>
          </w:tcPr>
          <w:p w:rsidR="009F2EC8" w:rsidRPr="008B6216" w:rsidRDefault="0014572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9F2EC8" w:rsidRPr="008B6216" w:rsidRDefault="009F2EC8" w:rsidP="00667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  <w:r w:rsidR="00667C2A">
              <w:rPr>
                <w:rFonts w:ascii="Times New Roman" w:hAnsi="Times New Roman" w:cs="Times New Roman"/>
                <w:sz w:val="20"/>
              </w:rPr>
              <w:t> 036,6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 w:val="restart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2EC8" w:rsidRPr="008B6216" w:rsidTr="009F2EC8">
        <w:tc>
          <w:tcPr>
            <w:tcW w:w="568" w:type="dxa"/>
            <w:vMerge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2EC8" w:rsidRPr="008B6216" w:rsidRDefault="009F2EC8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6D7E3B">
              <w:rPr>
                <w:rFonts w:ascii="Times New Roman" w:hAnsi="Times New Roman" w:cs="Times New Roman"/>
                <w:sz w:val="20"/>
              </w:rPr>
              <w:t> 036,4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9F2EC8" w:rsidRPr="008B6216" w:rsidRDefault="00667C2A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1 036,6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/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№3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B6618" w:rsidRPr="008B6216" w:rsidRDefault="008B6618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8B6618" w:rsidRPr="002618A2" w:rsidRDefault="008B6618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8B6618" w:rsidRPr="002618A2" w:rsidRDefault="008B6618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618" w:rsidRPr="00440DF0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 w:val="restart"/>
          </w:tcPr>
          <w:p w:rsidR="008B6618" w:rsidRPr="002618A2" w:rsidRDefault="00B37A26" w:rsidP="00B37A26">
            <w:pPr>
              <w:pStyle w:val="ConsPlusNormal"/>
              <w:rPr>
                <w:rFonts w:ascii="Times New Roman" w:hAnsi="Times New Roman" w:cs="Times New Roman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810C0" w:rsidRPr="00440DF0" w:rsidRDefault="003810C0" w:rsidP="003810C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/>
          </w:tcPr>
          <w:p w:rsidR="008B6618" w:rsidRPr="002618A2" w:rsidRDefault="008B6618" w:rsidP="00EB6DE6">
            <w:pPr>
              <w:rPr>
                <w:rFonts w:cs="Times New Roman"/>
              </w:rPr>
            </w:pPr>
          </w:p>
        </w:tc>
      </w:tr>
    </w:tbl>
    <w:p w:rsidR="00122EED" w:rsidRPr="008B6216" w:rsidRDefault="00122EED">
      <w:pPr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8B6216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8B6216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BB4E8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0DF0" w:rsidRPr="008B6216" w:rsidTr="00AA7367">
        <w:tc>
          <w:tcPr>
            <w:tcW w:w="426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440DF0" w:rsidRPr="008B6216" w:rsidRDefault="00440DF0" w:rsidP="00440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2020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,8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,7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Проведение анализа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учете просроченной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кредиторской задолженности бюджета городского округа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EE55C3" w:rsidP="000F1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№4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к муниципальной программе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городского округа Электросталь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BB75FA">
      <w:pPr>
        <w:autoSpaceDE w:val="0"/>
        <w:autoSpaceDN w:val="0"/>
        <w:adjustRightInd w:val="0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75FA" w:rsidRPr="008B6216" w:rsidRDefault="00BB75F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BB75FA" w:rsidRPr="002618A2" w:rsidRDefault="00BB75FA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BB75FA" w:rsidRPr="002618A2" w:rsidRDefault="00BB75FA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E7C4B" w:rsidRPr="00FE7C4B" w:rsidRDefault="00FE7C4B" w:rsidP="00445E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635 830,6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445ED4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339 077,4</w:t>
            </w:r>
          </w:p>
        </w:tc>
        <w:tc>
          <w:tcPr>
            <w:tcW w:w="1276" w:type="dxa"/>
          </w:tcPr>
          <w:p w:rsidR="00FE7C4B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310 520,3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 w:val="restart"/>
          </w:tcPr>
          <w:p w:rsidR="00FE7C4B" w:rsidRPr="002618A2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E7C4B" w:rsidRPr="00FE7C4B" w:rsidRDefault="00FE7C4B" w:rsidP="00445E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635 830,6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445ED4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339 077,4</w:t>
            </w:r>
          </w:p>
        </w:tc>
        <w:tc>
          <w:tcPr>
            <w:tcW w:w="1276" w:type="dxa"/>
          </w:tcPr>
          <w:p w:rsidR="00FE7C4B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310 520,3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/>
          </w:tcPr>
          <w:p w:rsidR="00FE7C4B" w:rsidRPr="002618A2" w:rsidRDefault="00FE7C4B" w:rsidP="00EB6DE6">
            <w:pPr>
              <w:rPr>
                <w:rFonts w:cs="Times New Roman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EB08EE" w:rsidRDefault="00BB75FA" w:rsidP="00445E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460 155,5</w:t>
            </w: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304 903,5</w:t>
            </w:r>
          </w:p>
        </w:tc>
        <w:tc>
          <w:tcPr>
            <w:tcW w:w="1276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275 051,1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460 155,5</w:t>
            </w:r>
          </w:p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304 903,5</w:t>
            </w:r>
          </w:p>
        </w:tc>
        <w:tc>
          <w:tcPr>
            <w:tcW w:w="1276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275 051,1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3F78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3F781F">
              <w:rPr>
                <w:rFonts w:ascii="Times New Roman" w:hAnsi="Times New Roman" w:cs="Times New Roman"/>
                <w:szCs w:val="22"/>
              </w:rPr>
              <w:t> 686,9</w:t>
            </w:r>
          </w:p>
        </w:tc>
        <w:tc>
          <w:tcPr>
            <w:tcW w:w="1226" w:type="dxa"/>
          </w:tcPr>
          <w:p w:rsidR="00BB75FA" w:rsidRPr="003A588F" w:rsidRDefault="00FD22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</w:t>
            </w:r>
            <w:r>
              <w:rPr>
                <w:rFonts w:ascii="Times New Roman" w:hAnsi="Times New Roman" w:cs="Times New Roman"/>
                <w:szCs w:val="22"/>
              </w:rPr>
              <w:t xml:space="preserve">агоустройства Администрации городского округа </w:t>
            </w:r>
            <w:r w:rsidRPr="00BB75FA">
              <w:rPr>
                <w:rFonts w:ascii="Times New Roman" w:hAnsi="Times New Roman" w:cs="Times New Roman"/>
                <w:szCs w:val="22"/>
              </w:rPr>
              <w:t>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3F781F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59 686,9</w:t>
            </w:r>
          </w:p>
        </w:tc>
        <w:tc>
          <w:tcPr>
            <w:tcW w:w="1226" w:type="dxa"/>
          </w:tcPr>
          <w:p w:rsidR="00BB75FA" w:rsidRPr="003A588F" w:rsidRDefault="00BB75FA" w:rsidP="00FD2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10</w:t>
            </w:r>
            <w:r w:rsidR="00FD22F9">
              <w:rPr>
                <w:rFonts w:ascii="Times New Roman" w:hAnsi="Times New Roman" w:cs="Times New Roman"/>
                <w:szCs w:val="22"/>
              </w:rPr>
              <w:t>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115</w:t>
            </w:r>
            <w:r w:rsidR="00B34562">
              <w:rPr>
                <w:rFonts w:ascii="Times New Roman" w:hAnsi="Times New Roman" w:cs="Times New Roman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Pr="00BB75F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jc w:val="center"/>
              <w:rPr>
                <w:sz w:val="22"/>
                <w:szCs w:val="22"/>
              </w:rPr>
            </w:pPr>
            <w:r w:rsidRPr="003A588F">
              <w:rPr>
                <w:rFonts w:cs="Times New Roman"/>
                <w:sz w:val="22"/>
                <w:szCs w:val="22"/>
              </w:rPr>
              <w:t>115</w:t>
            </w:r>
            <w:r w:rsidR="00B34562">
              <w:rPr>
                <w:rFonts w:cs="Times New Roman"/>
                <w:sz w:val="22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/>
          </w:tcPr>
          <w:p w:rsidR="00BB75FA" w:rsidRPr="001248C6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122EED" w:rsidRPr="008B6216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A2742E" w:rsidRDefault="00A2742E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right="-711"/>
        <w:jc w:val="center"/>
      </w:pPr>
      <w:r w:rsidRPr="008B6216">
        <w:rPr>
          <w:rFonts w:cs="Times New Roman"/>
        </w:rPr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8B6216">
        <w:rPr>
          <w:rFonts w:cs="Times New Roman"/>
        </w:rPr>
        <w:t>деятельностиАдминистрации</w:t>
      </w:r>
      <w:proofErr w:type="spellEnd"/>
      <w:r w:rsidRPr="008B6216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8B6216" w:rsidRDefault="00EE55C3" w:rsidP="00122EED">
      <w:pPr>
        <w:pStyle w:val="ConsPlusNormal"/>
        <w:ind w:firstLine="540"/>
        <w:jc w:val="both"/>
      </w:pPr>
      <w:r w:rsidRPr="008B621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B6216">
        <w:t>.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8B6216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8B6216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AA7367" w:rsidRPr="008B6216" w:rsidRDefault="00AA7367" w:rsidP="00093CA5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635 830,6</w:t>
            </w:r>
          </w:p>
          <w:p w:rsidR="00AA7367" w:rsidRPr="00EB08EE" w:rsidRDefault="00AA7367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1D5B65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AA7367" w:rsidRPr="00EB08EE" w:rsidRDefault="00C71F3D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339 077,4</w:t>
            </w:r>
          </w:p>
          <w:p w:rsidR="00AA7367" w:rsidRPr="00EB08EE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AA7367" w:rsidP="00295E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 w:rsidR="004630C5"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AA7367" w:rsidRPr="008B6216" w:rsidRDefault="00AA7367" w:rsidP="00BF45C2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1A4F" w:rsidRPr="008B6216" w:rsidTr="0069304B">
        <w:tc>
          <w:tcPr>
            <w:tcW w:w="563" w:type="dxa"/>
            <w:vMerge/>
          </w:tcPr>
          <w:p w:rsidR="003D1A4F" w:rsidRPr="008B6216" w:rsidRDefault="003D1A4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D1A4F" w:rsidRPr="008B6216" w:rsidRDefault="003D1A4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D1A4F" w:rsidRPr="008B6216" w:rsidRDefault="003D1A4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D1A4F" w:rsidRPr="008B6216" w:rsidRDefault="003D1A4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635 830,6</w:t>
            </w:r>
          </w:p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3D1A4F" w:rsidRPr="00EB08EE" w:rsidRDefault="00C71F3D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339 077,4</w:t>
            </w:r>
          </w:p>
          <w:p w:rsidR="003D1A4F" w:rsidRPr="00EB08EE" w:rsidRDefault="003D1A4F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D1A4F" w:rsidRPr="00EB08EE" w:rsidRDefault="003D1A4F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3D1A4F" w:rsidRPr="008B6216" w:rsidRDefault="003D1A4F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3D1A4F" w:rsidRPr="008B6216" w:rsidRDefault="003D1A4F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/>
          </w:tcPr>
          <w:p w:rsidR="003D1A4F" w:rsidRPr="008B6216" w:rsidRDefault="003D1A4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3D1A4F" w:rsidRPr="008B6216" w:rsidRDefault="003D1A4F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902F5C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EA6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2742E" w:rsidRPr="008B6216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AA7367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BB4E86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645 431,5</w:t>
            </w:r>
          </w:p>
          <w:p w:rsidR="00AA7367" w:rsidRPr="00EB08EE" w:rsidRDefault="00AA7367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3810C0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141 771,</w:t>
            </w:r>
            <w:r w:rsidR="001D5B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EB08EE" w:rsidRDefault="00BB4E86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138 044,8</w:t>
            </w:r>
          </w:p>
          <w:p w:rsidR="00AA7367" w:rsidRPr="00EB08EE" w:rsidRDefault="00AA7367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73401F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115 099,8</w:t>
            </w:r>
          </w:p>
        </w:tc>
        <w:tc>
          <w:tcPr>
            <w:tcW w:w="993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BB4E86" w:rsidRPr="008B6216" w:rsidTr="0069304B">
        <w:tc>
          <w:tcPr>
            <w:tcW w:w="563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BB4E8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645 431,5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141 771,7</w:t>
            </w: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138 044,8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115 099,8</w:t>
            </w:r>
          </w:p>
        </w:tc>
        <w:tc>
          <w:tcPr>
            <w:tcW w:w="993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756A1F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AA7367" w:rsidRPr="008B6216" w:rsidRDefault="00AA7367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 w:rsidR="003810C0"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AA7367" w:rsidRPr="008B6216" w:rsidRDefault="00756A1F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</w:t>
            </w:r>
            <w:r w:rsidR="000E0A04">
              <w:rPr>
                <w:rFonts w:ascii="Times New Roman" w:hAnsi="Times New Roman" w:cs="Times New Roman"/>
                <w:sz w:val="20"/>
              </w:rPr>
              <w:t xml:space="preserve">дминистрации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6A1F" w:rsidRPr="008B6216" w:rsidTr="0069304B">
        <w:tc>
          <w:tcPr>
            <w:tcW w:w="563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56A1F" w:rsidRPr="008B6216" w:rsidRDefault="00756A1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rPr>
          <w:trHeight w:val="967"/>
        </w:trPr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</w:t>
            </w:r>
            <w:r w:rsidR="003A0346">
              <w:rPr>
                <w:rFonts w:ascii="Times New Roman" w:hAnsi="Times New Roman"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</w:t>
            </w:r>
            <w:r w:rsidR="001D5B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jc w:val="center"/>
            </w:pPr>
            <w:r w:rsidRPr="008B6216">
              <w:rPr>
                <w:rFonts w:cs="Times New Roman"/>
                <w:sz w:val="20"/>
              </w:rPr>
              <w:t>115</w:t>
            </w:r>
            <w:r w:rsidR="003A0346">
              <w:rPr>
                <w:rFonts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127C6D">
            <w:pPr>
              <w:jc w:val="center"/>
            </w:pPr>
            <w:r>
              <w:rPr>
                <w:rFonts w:cs="Times New Roman"/>
                <w:sz w:val="20"/>
              </w:rPr>
              <w:t>23 214,</w:t>
            </w:r>
            <w:r w:rsidR="001D5B65">
              <w:rPr>
                <w:rFonts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346" w:rsidRPr="008B6216" w:rsidTr="0069304B">
        <w:tc>
          <w:tcPr>
            <w:tcW w:w="563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3A0346" w:rsidRPr="008B6216" w:rsidTr="0069304B">
        <w:tc>
          <w:tcPr>
            <w:tcW w:w="563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034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3D1A4F">
            <w:pPr>
              <w:jc w:val="center"/>
            </w:pPr>
            <w:r>
              <w:rPr>
                <w:rFonts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rPr>
          <w:trHeight w:val="20"/>
        </w:trPr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482 368,3</w:t>
            </w:r>
          </w:p>
        </w:tc>
        <w:tc>
          <w:tcPr>
            <w:tcW w:w="992" w:type="dxa"/>
          </w:tcPr>
          <w:p w:rsidR="00AA7367" w:rsidRPr="008B6216" w:rsidRDefault="001D5B65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482 368,3</w:t>
            </w:r>
          </w:p>
        </w:tc>
        <w:tc>
          <w:tcPr>
            <w:tcW w:w="992" w:type="dxa"/>
          </w:tcPr>
          <w:p w:rsidR="00AA7367" w:rsidRPr="008B6216" w:rsidRDefault="001D5B65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C71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350 663,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C492A" w:rsidRDefault="00AA7367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72 284,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D6FDA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DA">
              <w:rPr>
                <w:rFonts w:ascii="Times New Roman" w:hAnsi="Times New Roman" w:cs="Times New Roman"/>
                <w:sz w:val="20"/>
              </w:rPr>
              <w:t>70 044,7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69 206,1</w:t>
            </w:r>
          </w:p>
        </w:tc>
        <w:tc>
          <w:tcPr>
            <w:tcW w:w="993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996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76 247,3</w:t>
            </w:r>
          </w:p>
        </w:tc>
        <w:tc>
          <w:tcPr>
            <w:tcW w:w="992" w:type="dxa"/>
          </w:tcPr>
          <w:p w:rsidR="00AA7367" w:rsidRPr="00AC492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14 432,9</w:t>
            </w:r>
          </w:p>
        </w:tc>
        <w:tc>
          <w:tcPr>
            <w:tcW w:w="992" w:type="dxa"/>
          </w:tcPr>
          <w:p w:rsidR="00AA7367" w:rsidRPr="002F521A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21A">
              <w:rPr>
                <w:rFonts w:ascii="Times New Roman" w:hAnsi="Times New Roman" w:cs="Times New Roman"/>
                <w:sz w:val="20"/>
              </w:rPr>
              <w:t>15 592,7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15 616,3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 «Управление по конкурентной политике и координации закупок»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55 457,4</w:t>
            </w:r>
          </w:p>
        </w:tc>
        <w:tc>
          <w:tcPr>
            <w:tcW w:w="992" w:type="dxa"/>
          </w:tcPr>
          <w:p w:rsidR="00AA7367" w:rsidRPr="00AC492A" w:rsidRDefault="00AA7367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10 694,3</w:t>
            </w:r>
          </w:p>
        </w:tc>
        <w:tc>
          <w:tcPr>
            <w:tcW w:w="992" w:type="dxa"/>
          </w:tcPr>
          <w:p w:rsidR="00AA7367" w:rsidRPr="00F24127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4127">
              <w:rPr>
                <w:rFonts w:ascii="Times New Roman" w:hAnsi="Times New Roman" w:cs="Times New Roman"/>
                <w:sz w:val="20"/>
              </w:rPr>
              <w:t>11 052,6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11 398,9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2C6FCF">
        <w:tc>
          <w:tcPr>
            <w:tcW w:w="563" w:type="dxa"/>
          </w:tcPr>
          <w:p w:rsidR="0069304B" w:rsidRPr="008B6216" w:rsidRDefault="006930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6855" w:rsidRPr="008B6216" w:rsidTr="0069304B">
        <w:tc>
          <w:tcPr>
            <w:tcW w:w="563" w:type="dxa"/>
            <w:vMerge w:val="restart"/>
          </w:tcPr>
          <w:p w:rsidR="00C06855" w:rsidRPr="008B6216" w:rsidRDefault="00C0685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635 830,6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06855" w:rsidRPr="00EB08EE" w:rsidRDefault="00C71F3D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339 077,4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 w:val="restart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2604" w:rsidRPr="008B6216" w:rsidTr="0069304B">
        <w:tc>
          <w:tcPr>
            <w:tcW w:w="563" w:type="dxa"/>
            <w:vMerge/>
          </w:tcPr>
          <w:p w:rsidR="00202604" w:rsidRPr="008B6216" w:rsidRDefault="0020260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635 830,6</w:t>
            </w:r>
          </w:p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202604" w:rsidRPr="00EB08EE" w:rsidRDefault="00C71F3D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339 077,4</w:t>
            </w:r>
          </w:p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941B22">
      <w:pPr>
        <w:ind w:right="25"/>
        <w:jc w:val="right"/>
      </w:pPr>
      <w:r w:rsidRPr="008B6216">
        <w:t>».</w:t>
      </w:r>
    </w:p>
    <w:p w:rsidR="00BE5B11" w:rsidRDefault="00BE5B11" w:rsidP="00941B22">
      <w:pPr>
        <w:ind w:right="25"/>
        <w:jc w:val="right"/>
      </w:pPr>
    </w:p>
    <w:sectPr w:rsidR="00BE5B11" w:rsidSect="00122EED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B4" w:rsidRDefault="007612B4" w:rsidP="00AD249F">
      <w:r>
        <w:separator/>
      </w:r>
    </w:p>
  </w:endnote>
  <w:endnote w:type="continuationSeparator" w:id="0">
    <w:p w:rsidR="007612B4" w:rsidRDefault="007612B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B4" w:rsidRDefault="007612B4" w:rsidP="00AD249F">
      <w:r>
        <w:separator/>
      </w:r>
    </w:p>
  </w:footnote>
  <w:footnote w:type="continuationSeparator" w:id="0">
    <w:p w:rsidR="007612B4" w:rsidRDefault="007612B4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AD6FDA" w:rsidRDefault="00A544B7">
        <w:pPr>
          <w:pStyle w:val="aa"/>
          <w:jc w:val="center"/>
        </w:pPr>
        <w:r>
          <w:rPr>
            <w:noProof/>
          </w:rPr>
          <w:fldChar w:fldCharType="begin"/>
        </w:r>
        <w:r w:rsidR="00AD6FD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6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FDA" w:rsidRDefault="00AD6F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DA" w:rsidRDefault="00A544B7">
    <w:pPr>
      <w:pStyle w:val="aa"/>
      <w:jc w:val="center"/>
    </w:pPr>
    <w:r>
      <w:rPr>
        <w:noProof/>
      </w:rPr>
      <w:fldChar w:fldCharType="begin"/>
    </w:r>
    <w:r w:rsidR="00AD6FDA">
      <w:rPr>
        <w:noProof/>
      </w:rPr>
      <w:instrText xml:space="preserve"> PAGE   \* MERGEFORMAT </w:instrText>
    </w:r>
    <w:r>
      <w:rPr>
        <w:noProof/>
      </w:rPr>
      <w:fldChar w:fldCharType="separate"/>
    </w:r>
    <w:r w:rsidR="000148DA">
      <w:rPr>
        <w:noProof/>
      </w:rPr>
      <w:t>21</w:t>
    </w:r>
    <w:r>
      <w:rPr>
        <w:noProof/>
      </w:rPr>
      <w:fldChar w:fldCharType="end"/>
    </w:r>
  </w:p>
  <w:p w:rsidR="00AD6FDA" w:rsidRDefault="00AD6F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8DA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4409"/>
    <w:rsid w:val="00046060"/>
    <w:rsid w:val="00050C7C"/>
    <w:rsid w:val="000616FE"/>
    <w:rsid w:val="00066E5A"/>
    <w:rsid w:val="0006782E"/>
    <w:rsid w:val="00067B44"/>
    <w:rsid w:val="000702E7"/>
    <w:rsid w:val="00073E14"/>
    <w:rsid w:val="000743A5"/>
    <w:rsid w:val="0007581E"/>
    <w:rsid w:val="0007765D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2EED"/>
    <w:rsid w:val="00123022"/>
    <w:rsid w:val="0012410F"/>
    <w:rsid w:val="00124577"/>
    <w:rsid w:val="001248C6"/>
    <w:rsid w:val="00126E97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5840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6946"/>
    <w:rsid w:val="00326E2E"/>
    <w:rsid w:val="003308D6"/>
    <w:rsid w:val="00331094"/>
    <w:rsid w:val="00340EEB"/>
    <w:rsid w:val="00341334"/>
    <w:rsid w:val="003416B8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6025"/>
    <w:rsid w:val="00461F36"/>
    <w:rsid w:val="00462B32"/>
    <w:rsid w:val="004630C5"/>
    <w:rsid w:val="00463D95"/>
    <w:rsid w:val="00464B9D"/>
    <w:rsid w:val="00465F54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522"/>
    <w:rsid w:val="00507C8A"/>
    <w:rsid w:val="0051220A"/>
    <w:rsid w:val="00512F47"/>
    <w:rsid w:val="0051318F"/>
    <w:rsid w:val="00515EC2"/>
    <w:rsid w:val="00517579"/>
    <w:rsid w:val="005207CA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44D7"/>
    <w:rsid w:val="005759A2"/>
    <w:rsid w:val="00576C99"/>
    <w:rsid w:val="0058294C"/>
    <w:rsid w:val="005855F0"/>
    <w:rsid w:val="00591EC3"/>
    <w:rsid w:val="00595038"/>
    <w:rsid w:val="00596932"/>
    <w:rsid w:val="00597D41"/>
    <w:rsid w:val="005A0357"/>
    <w:rsid w:val="005B0538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8FE"/>
    <w:rsid w:val="006D7E3B"/>
    <w:rsid w:val="006E0D57"/>
    <w:rsid w:val="006E1CA5"/>
    <w:rsid w:val="006E4FDD"/>
    <w:rsid w:val="006E7097"/>
    <w:rsid w:val="006F7653"/>
    <w:rsid w:val="006F7B9A"/>
    <w:rsid w:val="007008D9"/>
    <w:rsid w:val="00705212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12B83"/>
    <w:rsid w:val="00813B20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4F00"/>
    <w:rsid w:val="00856160"/>
    <w:rsid w:val="00857F97"/>
    <w:rsid w:val="008627DC"/>
    <w:rsid w:val="0086777A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366C"/>
    <w:rsid w:val="00A3538A"/>
    <w:rsid w:val="00A36E67"/>
    <w:rsid w:val="00A37D17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EB4"/>
    <w:rsid w:val="00B66F52"/>
    <w:rsid w:val="00B71BB4"/>
    <w:rsid w:val="00B71FA0"/>
    <w:rsid w:val="00B75C77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4C4B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5638"/>
    <w:rsid w:val="00D77246"/>
    <w:rsid w:val="00D77DC1"/>
    <w:rsid w:val="00D835E5"/>
    <w:rsid w:val="00D857A4"/>
    <w:rsid w:val="00D86EEA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C3FAA"/>
    <w:rsid w:val="00DD094A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4B26"/>
    <w:rsid w:val="00E459F4"/>
    <w:rsid w:val="00E45E7F"/>
    <w:rsid w:val="00E47BD8"/>
    <w:rsid w:val="00E501AA"/>
    <w:rsid w:val="00E51AF6"/>
    <w:rsid w:val="00E5260C"/>
    <w:rsid w:val="00E529BC"/>
    <w:rsid w:val="00E53F30"/>
    <w:rsid w:val="00E544EF"/>
    <w:rsid w:val="00E60264"/>
    <w:rsid w:val="00E611AC"/>
    <w:rsid w:val="00E6513C"/>
    <w:rsid w:val="00E65534"/>
    <w:rsid w:val="00E65AF2"/>
    <w:rsid w:val="00E71BC6"/>
    <w:rsid w:val="00E801C8"/>
    <w:rsid w:val="00E865B3"/>
    <w:rsid w:val="00E91DB1"/>
    <w:rsid w:val="00E9249E"/>
    <w:rsid w:val="00E94CC5"/>
    <w:rsid w:val="00E95731"/>
    <w:rsid w:val="00EA036C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F9C5-BA18-4458-B8DF-AF46BA37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12730</Words>
  <Characters>94864</Characters>
  <Application>Microsoft Office Word</Application>
  <DocSecurity>0</DocSecurity>
  <Lines>790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2021-08-03T07:43:00Z</cp:lastPrinted>
  <dcterms:created xsi:type="dcterms:W3CDTF">2021-10-20T07:03:00Z</dcterms:created>
  <dcterms:modified xsi:type="dcterms:W3CDTF">2021-10-20T14:39:00Z</dcterms:modified>
</cp:coreProperties>
</file>