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Pr="004C387B" w:rsidRDefault="004C387B" w:rsidP="004C387B">
      <w:pPr>
        <w:ind w:right="-2"/>
        <w:jc w:val="right"/>
        <w:rPr>
          <w:b/>
          <w:sz w:val="28"/>
          <w:szCs w:val="28"/>
        </w:rPr>
      </w:pPr>
      <w:r w:rsidRPr="004C387B">
        <w:rPr>
          <w:b/>
          <w:sz w:val="28"/>
          <w:szCs w:val="28"/>
        </w:rPr>
        <w:t>ПРОЕКТ</w:t>
      </w:r>
    </w:p>
    <w:p w:rsidR="00652B2C" w:rsidRPr="00537687" w:rsidRDefault="00652B2C" w:rsidP="00652B2C">
      <w:pPr>
        <w:ind w:right="-2" w:firstLine="1701"/>
        <w:rPr>
          <w:b/>
        </w:rPr>
      </w:pPr>
      <w:r w:rsidRPr="00537687">
        <w:tab/>
      </w:r>
      <w:r w:rsidRPr="00537687">
        <w:tab/>
      </w:r>
    </w:p>
    <w:p w:rsidR="004C387B" w:rsidRDefault="004C387B" w:rsidP="00652B2C">
      <w:pPr>
        <w:ind w:right="-2"/>
        <w:jc w:val="center"/>
        <w:rPr>
          <w:b/>
          <w:sz w:val="28"/>
        </w:rPr>
      </w:pPr>
      <w:r>
        <w:rPr>
          <w:noProof/>
        </w:rPr>
        <w:drawing>
          <wp:inline distT="0" distB="0" distL="0" distR="0">
            <wp:extent cx="819150" cy="838200"/>
            <wp:effectExtent l="19050" t="0" r="0" b="0"/>
            <wp:docPr id="3"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C387B" w:rsidRDefault="004C387B" w:rsidP="00652B2C">
      <w:pPr>
        <w:ind w:right="-2"/>
        <w:jc w:val="center"/>
        <w:rPr>
          <w:b/>
          <w:sz w:val="28"/>
        </w:rPr>
      </w:pPr>
    </w:p>
    <w:p w:rsidR="00652B2C" w:rsidRDefault="00652B2C" w:rsidP="00652B2C">
      <w:pPr>
        <w:ind w:right="-2"/>
        <w:jc w:val="center"/>
        <w:rPr>
          <w:b/>
          <w:sz w:val="28"/>
        </w:rPr>
      </w:pPr>
      <w:r>
        <w:rPr>
          <w:b/>
          <w:sz w:val="28"/>
        </w:rPr>
        <w:t>АДМИНИСТРАЦИЯ  ГОРОДСКОГО ОКРУГА ЭЛЕКТРОСТАЛЬ</w:t>
      </w:r>
    </w:p>
    <w:p w:rsidR="00652B2C" w:rsidRPr="00FC1C14" w:rsidRDefault="00652B2C" w:rsidP="00652B2C">
      <w:pPr>
        <w:ind w:right="-2"/>
        <w:jc w:val="center"/>
        <w:rPr>
          <w:b/>
          <w:sz w:val="12"/>
          <w:szCs w:val="12"/>
        </w:rPr>
      </w:pPr>
    </w:p>
    <w:p w:rsidR="00652B2C" w:rsidRDefault="00652B2C" w:rsidP="00652B2C">
      <w:pPr>
        <w:ind w:right="-2"/>
        <w:jc w:val="center"/>
        <w:rPr>
          <w:b/>
          <w:sz w:val="28"/>
        </w:rPr>
      </w:pPr>
      <w:r>
        <w:rPr>
          <w:b/>
          <w:sz w:val="28"/>
        </w:rPr>
        <w:t>МОСКОВСКОЙ   ОБЛАСТИ</w:t>
      </w:r>
    </w:p>
    <w:p w:rsidR="00652B2C" w:rsidRPr="0058294C" w:rsidRDefault="00652B2C" w:rsidP="00652B2C">
      <w:pPr>
        <w:ind w:right="-2" w:firstLine="1701"/>
        <w:jc w:val="center"/>
        <w:rPr>
          <w:sz w:val="16"/>
          <w:szCs w:val="16"/>
        </w:rPr>
      </w:pPr>
    </w:p>
    <w:p w:rsidR="00652B2C" w:rsidRDefault="00652B2C" w:rsidP="00652B2C">
      <w:pPr>
        <w:ind w:right="-2"/>
        <w:jc w:val="center"/>
        <w:rPr>
          <w:b/>
          <w:sz w:val="44"/>
        </w:rPr>
      </w:pPr>
      <w:r>
        <w:rPr>
          <w:b/>
          <w:sz w:val="44"/>
        </w:rPr>
        <w:t>ПОСТАНОВЛЕНИЕ</w:t>
      </w:r>
    </w:p>
    <w:p w:rsidR="00652B2C" w:rsidRPr="00537687" w:rsidRDefault="00652B2C" w:rsidP="00652B2C">
      <w:pPr>
        <w:ind w:right="-2"/>
        <w:jc w:val="center"/>
        <w:rPr>
          <w:b/>
        </w:rPr>
      </w:pPr>
    </w:p>
    <w:p w:rsidR="00652B2C" w:rsidRPr="00537687" w:rsidRDefault="00652B2C" w:rsidP="00652B2C">
      <w:pPr>
        <w:ind w:right="-2"/>
        <w:jc w:val="center"/>
        <w:rPr>
          <w:b/>
        </w:rPr>
      </w:pPr>
    </w:p>
    <w:p w:rsidR="00652B2C" w:rsidRDefault="00652B2C" w:rsidP="00652B2C">
      <w:pPr>
        <w:ind w:right="-2"/>
        <w:jc w:val="center"/>
        <w:outlineLvl w:val="0"/>
      </w:pPr>
      <w:r w:rsidRPr="00537687">
        <w:t xml:space="preserve"> </w:t>
      </w:r>
      <w:r w:rsidR="009A471B">
        <w:rPr>
          <w:u w:val="single"/>
        </w:rPr>
        <w:t xml:space="preserve">                      </w:t>
      </w:r>
      <w:r w:rsidR="00C73E9C">
        <w:rPr>
          <w:u w:val="single"/>
        </w:rPr>
        <w:t xml:space="preserve">    </w:t>
      </w:r>
      <w:r w:rsidRPr="00537687">
        <w:t xml:space="preserve"> № </w:t>
      </w:r>
      <w:r w:rsidR="009A471B">
        <w:rPr>
          <w:u w:val="single"/>
        </w:rPr>
        <w:t xml:space="preserve">                    </w:t>
      </w:r>
      <w:r w:rsidR="009A471B" w:rsidRPr="009A471B">
        <w:rPr>
          <w:color w:val="FFFFFF" w:themeColor="background1"/>
          <w:u w:val="single"/>
        </w:rPr>
        <w:t xml:space="preserve">. </w:t>
      </w:r>
    </w:p>
    <w:p w:rsidR="001C5AD2" w:rsidRDefault="001C5AD2" w:rsidP="00652B2C">
      <w:pPr>
        <w:outlineLvl w:val="0"/>
      </w:pPr>
    </w:p>
    <w:p w:rsidR="00652B2C" w:rsidRDefault="00652B2C" w:rsidP="00652B2C">
      <w:pPr>
        <w:outlineLvl w:val="0"/>
        <w:rPr>
          <w:rFonts w:cs="Times New Roman"/>
          <w:b/>
        </w:rPr>
      </w:pPr>
      <w:r>
        <w:tab/>
      </w:r>
      <w:r>
        <w:tab/>
      </w:r>
      <w:r>
        <w:tab/>
      </w:r>
      <w:r>
        <w:tab/>
      </w:r>
      <w:r>
        <w:tab/>
      </w:r>
      <w:r>
        <w:tab/>
      </w:r>
      <w:r>
        <w:tab/>
      </w:r>
    </w:p>
    <w:p w:rsidR="00652B2C" w:rsidRPr="00DD3DAA" w:rsidRDefault="00652B2C" w:rsidP="00652B2C">
      <w:pPr>
        <w:jc w:val="center"/>
        <w:rPr>
          <w:rFonts w:cs="Times New Roman"/>
        </w:rPr>
      </w:pPr>
      <w:r w:rsidRPr="00DD3DAA">
        <w:rPr>
          <w:rFonts w:cs="Times New Roman"/>
        </w:rPr>
        <w:t xml:space="preserve">О прогнозе социально-экономического развития </w:t>
      </w:r>
    </w:p>
    <w:p w:rsidR="00652B2C" w:rsidRPr="00DD3DAA" w:rsidRDefault="00652B2C" w:rsidP="00652B2C">
      <w:pPr>
        <w:jc w:val="center"/>
        <w:rPr>
          <w:rFonts w:cs="Times New Roman"/>
        </w:rPr>
      </w:pPr>
      <w:r w:rsidRPr="00DD3DAA">
        <w:rPr>
          <w:rFonts w:cs="Times New Roman"/>
        </w:rPr>
        <w:t>городского округа Электросталь Московской области на 20</w:t>
      </w:r>
      <w:r w:rsidR="00E159AD">
        <w:rPr>
          <w:rFonts w:cs="Times New Roman"/>
        </w:rPr>
        <w:t>2</w:t>
      </w:r>
      <w:r w:rsidR="00C341BD">
        <w:rPr>
          <w:rFonts w:cs="Times New Roman"/>
        </w:rPr>
        <w:t>2</w:t>
      </w:r>
      <w:r w:rsidRPr="00DD3DAA">
        <w:rPr>
          <w:rFonts w:cs="Times New Roman"/>
        </w:rPr>
        <w:t>-202</w:t>
      </w:r>
      <w:r w:rsidR="00C341BD">
        <w:rPr>
          <w:rFonts w:cs="Times New Roman"/>
        </w:rPr>
        <w:t>4</w:t>
      </w:r>
      <w:r w:rsidRPr="00DD3DAA">
        <w:rPr>
          <w:rFonts w:cs="Times New Roman"/>
        </w:rPr>
        <w:t xml:space="preserve"> годы</w:t>
      </w:r>
    </w:p>
    <w:p w:rsidR="00652B2C" w:rsidRPr="00DD3DAA" w:rsidRDefault="00652B2C" w:rsidP="00652B2C">
      <w:pPr>
        <w:tabs>
          <w:tab w:val="center" w:pos="4677"/>
        </w:tabs>
        <w:ind w:firstLine="540"/>
        <w:jc w:val="both"/>
        <w:rPr>
          <w:rFonts w:cs="Times New Roman"/>
        </w:rPr>
      </w:pPr>
    </w:p>
    <w:p w:rsidR="00652B2C" w:rsidRPr="00D70E8F" w:rsidRDefault="00652B2C" w:rsidP="00652B2C">
      <w:pPr>
        <w:autoSpaceDE w:val="0"/>
        <w:autoSpaceDN w:val="0"/>
        <w:adjustRightInd w:val="0"/>
        <w:ind w:firstLine="540"/>
        <w:jc w:val="both"/>
        <w:rPr>
          <w:rFonts w:cs="Times New Roman"/>
          <w:kern w:val="16"/>
        </w:rPr>
      </w:pPr>
      <w:r w:rsidRPr="00D70E8F">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w:t>
      </w:r>
      <w:r w:rsidR="00207170" w:rsidRPr="004A2972">
        <w:rPr>
          <w:rFonts w:cs="Times New Roman"/>
        </w:rPr>
        <w:t>учитывая итоги общественного обсуждения проекта среднесрочного прогноза, проведенного с 07.</w:t>
      </w:r>
      <w:r w:rsidR="00207170" w:rsidRPr="008825CA">
        <w:rPr>
          <w:rFonts w:cs="Times New Roman"/>
        </w:rPr>
        <w:t>09</w:t>
      </w:r>
      <w:r w:rsidR="00207170">
        <w:rPr>
          <w:rFonts w:cs="Times New Roman"/>
        </w:rPr>
        <w:t>.2021 по 16.</w:t>
      </w:r>
      <w:r w:rsidR="00207170" w:rsidRPr="008825CA">
        <w:rPr>
          <w:rFonts w:cs="Times New Roman"/>
        </w:rPr>
        <w:t>09</w:t>
      </w:r>
      <w:r w:rsidR="00207170">
        <w:rPr>
          <w:rFonts w:cs="Times New Roman"/>
        </w:rPr>
        <w:t xml:space="preserve">.2021 </w:t>
      </w:r>
      <w:r w:rsidRPr="00D70E8F">
        <w:rPr>
          <w:rFonts w:cs="Times New Roman"/>
          <w:kern w:val="16"/>
        </w:rPr>
        <w:t xml:space="preserve">Администрация </w:t>
      </w:r>
      <w:r w:rsidRPr="00D70E8F">
        <w:rPr>
          <w:rFonts w:cs="Times New Roman"/>
          <w:color w:val="000000"/>
        </w:rPr>
        <w:t xml:space="preserve">городского округа Электросталь Московской области </w:t>
      </w:r>
      <w:r w:rsidR="00207170">
        <w:rPr>
          <w:rFonts w:cs="Times New Roman"/>
          <w:color w:val="000000"/>
        </w:rPr>
        <w:t xml:space="preserve"> </w:t>
      </w:r>
      <w:r w:rsidRPr="00D70E8F">
        <w:rPr>
          <w:rFonts w:cs="Times New Roman"/>
          <w:color w:val="000000"/>
        </w:rPr>
        <w:t>ПОСТАНОВЛЯЕТ:</w:t>
      </w:r>
    </w:p>
    <w:p w:rsidR="00652B2C" w:rsidRPr="00D70E8F" w:rsidRDefault="00652B2C" w:rsidP="00207170">
      <w:pPr>
        <w:pStyle w:val="ConsPlusNormal"/>
        <w:numPr>
          <w:ilvl w:val="0"/>
          <w:numId w:val="1"/>
        </w:numPr>
        <w:ind w:left="0" w:firstLine="540"/>
        <w:jc w:val="both"/>
        <w:rPr>
          <w:rFonts w:ascii="Times New Roman" w:hAnsi="Times New Roman" w:cs="Times New Roman"/>
          <w:sz w:val="24"/>
          <w:szCs w:val="24"/>
        </w:rPr>
      </w:pPr>
      <w:r w:rsidRPr="00D70E8F">
        <w:rPr>
          <w:rFonts w:ascii="Times New Roman" w:hAnsi="Times New Roman" w:cs="Times New Roman"/>
          <w:sz w:val="24"/>
          <w:szCs w:val="24"/>
        </w:rPr>
        <w:t xml:space="preserve">Одобрить прогноз социально-экономического развития городского округа Электросталь Московской области на </w:t>
      </w:r>
      <w:r w:rsidR="00E159AD" w:rsidRPr="00D70E8F">
        <w:rPr>
          <w:rFonts w:ascii="Times New Roman" w:hAnsi="Times New Roman" w:cs="Times New Roman"/>
          <w:sz w:val="24"/>
          <w:szCs w:val="24"/>
        </w:rPr>
        <w:t>202</w:t>
      </w:r>
      <w:r w:rsidR="00C341BD">
        <w:rPr>
          <w:rFonts w:ascii="Times New Roman" w:hAnsi="Times New Roman" w:cs="Times New Roman"/>
          <w:sz w:val="24"/>
          <w:szCs w:val="24"/>
        </w:rPr>
        <w:t>2</w:t>
      </w:r>
      <w:r w:rsidR="00E159AD" w:rsidRPr="00D70E8F">
        <w:rPr>
          <w:rFonts w:ascii="Times New Roman" w:hAnsi="Times New Roman" w:cs="Times New Roman"/>
          <w:sz w:val="24"/>
          <w:szCs w:val="24"/>
        </w:rPr>
        <w:t>-202</w:t>
      </w:r>
      <w:r w:rsidR="00C341BD">
        <w:rPr>
          <w:rFonts w:ascii="Times New Roman" w:hAnsi="Times New Roman" w:cs="Times New Roman"/>
          <w:sz w:val="24"/>
          <w:szCs w:val="24"/>
        </w:rPr>
        <w:t>4</w:t>
      </w:r>
      <w:r w:rsidR="00E159AD" w:rsidRPr="00D70E8F">
        <w:rPr>
          <w:rFonts w:ascii="Times New Roman" w:hAnsi="Times New Roman" w:cs="Times New Roman"/>
          <w:sz w:val="24"/>
          <w:szCs w:val="24"/>
        </w:rPr>
        <w:t xml:space="preserve"> </w:t>
      </w:r>
      <w:r w:rsidRPr="00D70E8F">
        <w:rPr>
          <w:rFonts w:ascii="Times New Roman" w:hAnsi="Times New Roman" w:cs="Times New Roman"/>
          <w:sz w:val="24"/>
          <w:szCs w:val="24"/>
        </w:rPr>
        <w:t>годы согласно приложению к настоящему постановлению.</w:t>
      </w:r>
    </w:p>
    <w:p w:rsidR="00652B2C" w:rsidRPr="00D70E8F" w:rsidRDefault="00652B2C" w:rsidP="00207170">
      <w:pPr>
        <w:pStyle w:val="a3"/>
        <w:numPr>
          <w:ilvl w:val="0"/>
          <w:numId w:val="1"/>
        </w:numPr>
        <w:ind w:left="0" w:firstLine="540"/>
        <w:jc w:val="both"/>
      </w:pPr>
      <w:r w:rsidRPr="00D70E8F">
        <w:t>Финансовому управлению Администрации городского округа Электросталь Московской области составить проект бюджета городского округа Электр</w:t>
      </w:r>
      <w:r w:rsidR="00E159AD" w:rsidRPr="00D70E8F">
        <w:t>осталь Московской области на 202</w:t>
      </w:r>
      <w:r w:rsidR="00C341BD">
        <w:t>2</w:t>
      </w:r>
      <w:r w:rsidRPr="00D70E8F">
        <w:t xml:space="preserve"> год и на плановый период  202</w:t>
      </w:r>
      <w:r w:rsidR="00C341BD">
        <w:t>3</w:t>
      </w:r>
      <w:r w:rsidRPr="00D70E8F">
        <w:t xml:space="preserve"> и 202</w:t>
      </w:r>
      <w:r w:rsidR="00C341BD">
        <w:t>4</w:t>
      </w:r>
      <w:r w:rsidRPr="00D70E8F">
        <w:t xml:space="preserve"> годов на основе прогноза социально-экономического развития городского округа Электросталь Московской области на 20</w:t>
      </w:r>
      <w:r w:rsidR="007E163C">
        <w:t>2</w:t>
      </w:r>
      <w:r w:rsidR="00C341BD">
        <w:t>2</w:t>
      </w:r>
      <w:r w:rsidRPr="00D70E8F">
        <w:t>-202</w:t>
      </w:r>
      <w:r w:rsidR="00C341BD">
        <w:t>4</w:t>
      </w:r>
      <w:r w:rsidRPr="00D70E8F">
        <w:t xml:space="preserve"> годы.</w:t>
      </w:r>
    </w:p>
    <w:p w:rsidR="00652B2C" w:rsidRDefault="00652B2C" w:rsidP="00207170">
      <w:pPr>
        <w:pStyle w:val="a3"/>
        <w:numPr>
          <w:ilvl w:val="0"/>
          <w:numId w:val="1"/>
        </w:numPr>
        <w:ind w:left="0" w:firstLine="540"/>
        <w:jc w:val="both"/>
      </w:pPr>
      <w:r w:rsidRPr="00D70E8F">
        <w:t xml:space="preserve">Представить прогноз социально-экономического развития городского округа Электросталь Московской области  на </w:t>
      </w:r>
      <w:r w:rsidR="00124351" w:rsidRPr="00D70E8F">
        <w:t>202</w:t>
      </w:r>
      <w:r w:rsidR="00C341BD">
        <w:t>2</w:t>
      </w:r>
      <w:r w:rsidR="00124351" w:rsidRPr="00D70E8F">
        <w:t>-202</w:t>
      </w:r>
      <w:r w:rsidR="00C341BD">
        <w:t>4</w:t>
      </w:r>
      <w:r w:rsidR="00124351" w:rsidRPr="00D70E8F">
        <w:t xml:space="preserve"> </w:t>
      </w:r>
      <w:r w:rsidRPr="00D70E8F">
        <w:t>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w:t>
      </w:r>
      <w:r w:rsidR="00225058" w:rsidRPr="00D70E8F">
        <w:t>2</w:t>
      </w:r>
      <w:r w:rsidR="00C341BD">
        <w:t>2</w:t>
      </w:r>
      <w:r w:rsidRPr="00D70E8F">
        <w:t xml:space="preserve"> год и на плановый период  202</w:t>
      </w:r>
      <w:r w:rsidR="00C341BD">
        <w:t>3</w:t>
      </w:r>
      <w:r w:rsidRPr="00D70E8F">
        <w:t xml:space="preserve">  и 202</w:t>
      </w:r>
      <w:r w:rsidR="00C341BD">
        <w:t>4</w:t>
      </w:r>
      <w:r w:rsidRPr="00D70E8F">
        <w:t xml:space="preserve"> годов».</w:t>
      </w:r>
    </w:p>
    <w:p w:rsidR="00207170" w:rsidRDefault="00207170" w:rsidP="00207170">
      <w:pPr>
        <w:pStyle w:val="a3"/>
        <w:numPr>
          <w:ilvl w:val="0"/>
          <w:numId w:val="1"/>
        </w:numPr>
        <w:ind w:left="0" w:firstLine="540"/>
        <w:jc w:val="both"/>
      </w:pPr>
      <w:r>
        <w:t>Разместить</w:t>
      </w:r>
      <w:r w:rsidRPr="004A2972">
        <w:t xml:space="preserve"> настоящее постановление в информационно-телекоммуникационной сети «Интернет» по адресу: </w:t>
      </w:r>
      <w:hyperlink r:id="rId9" w:history="1">
        <w:r w:rsidRPr="00207170">
          <w:rPr>
            <w:rStyle w:val="af1"/>
            <w:color w:val="auto"/>
            <w:u w:val="none"/>
            <w:lang w:val="en-US"/>
          </w:rPr>
          <w:t>www</w:t>
        </w:r>
        <w:r w:rsidRPr="00207170">
          <w:rPr>
            <w:rStyle w:val="af1"/>
            <w:color w:val="auto"/>
            <w:u w:val="none"/>
          </w:rPr>
          <w:t>.</w:t>
        </w:r>
        <w:r w:rsidRPr="00207170">
          <w:rPr>
            <w:rStyle w:val="af1"/>
            <w:color w:val="auto"/>
            <w:u w:val="none"/>
            <w:lang w:val="en-US"/>
          </w:rPr>
          <w:t>electrostal</w:t>
        </w:r>
        <w:r w:rsidRPr="00207170">
          <w:rPr>
            <w:rStyle w:val="af1"/>
            <w:color w:val="auto"/>
            <w:u w:val="none"/>
          </w:rPr>
          <w:t>.</w:t>
        </w:r>
        <w:r w:rsidRPr="00207170">
          <w:rPr>
            <w:rStyle w:val="af1"/>
            <w:color w:val="auto"/>
            <w:u w:val="none"/>
            <w:lang w:val="en-US"/>
          </w:rPr>
          <w:t>ru</w:t>
        </w:r>
      </w:hyperlink>
      <w:r w:rsidRPr="004A2972">
        <w:t>.</w:t>
      </w:r>
    </w:p>
    <w:p w:rsidR="00207170" w:rsidRDefault="00207170" w:rsidP="00207170">
      <w:pPr>
        <w:pStyle w:val="a3"/>
        <w:numPr>
          <w:ilvl w:val="0"/>
          <w:numId w:val="1"/>
        </w:numPr>
        <w:ind w:left="0" w:firstLine="540"/>
        <w:jc w:val="both"/>
      </w:pPr>
      <w:r w:rsidRPr="004A2972">
        <w:t xml:space="preserve">Контроль за выполнением настоящего постановления возложить на </w:t>
      </w:r>
      <w:r>
        <w:t xml:space="preserve">первого </w:t>
      </w:r>
      <w:r w:rsidRPr="004A2972">
        <w:t xml:space="preserve">заместителя Главы  Администрации  городского   округа   Электросталь  Московской  области </w:t>
      </w:r>
      <w:r>
        <w:t>Печникову О.В.</w:t>
      </w:r>
    </w:p>
    <w:p w:rsidR="00207170" w:rsidRPr="004A2972" w:rsidRDefault="00207170" w:rsidP="00207170">
      <w:pPr>
        <w:pStyle w:val="a3"/>
        <w:numPr>
          <w:ilvl w:val="0"/>
          <w:numId w:val="1"/>
        </w:numPr>
        <w:ind w:left="0" w:firstLine="540"/>
        <w:jc w:val="both"/>
      </w:pPr>
      <w:r w:rsidRPr="004A2972">
        <w:t>Настоящее постановление вступает в силу после его подписания.</w:t>
      </w:r>
    </w:p>
    <w:p w:rsidR="00652B2C" w:rsidRPr="000955C9" w:rsidRDefault="00652B2C" w:rsidP="00652B2C">
      <w:pPr>
        <w:pStyle w:val="af"/>
        <w:rPr>
          <w:rFonts w:cs="Times New Roman"/>
        </w:rPr>
      </w:pPr>
    </w:p>
    <w:p w:rsidR="00124351" w:rsidRDefault="00124351" w:rsidP="00C341BD">
      <w:pPr>
        <w:pStyle w:val="af"/>
        <w:spacing w:after="0"/>
        <w:ind w:left="0"/>
        <w:rPr>
          <w:rFonts w:cs="Times New Roman"/>
        </w:rPr>
      </w:pPr>
      <w:r>
        <w:rPr>
          <w:rFonts w:cs="Times New Roman"/>
        </w:rPr>
        <w:t>Глав</w:t>
      </w:r>
      <w:r w:rsidR="00C341BD">
        <w:rPr>
          <w:rFonts w:cs="Times New Roman"/>
        </w:rPr>
        <w:t>а</w:t>
      </w:r>
      <w:r>
        <w:rPr>
          <w:rFonts w:cs="Times New Roman"/>
        </w:rPr>
        <w:t xml:space="preserve"> городского округа                                                                                    И.Ю.Волкова</w:t>
      </w:r>
    </w:p>
    <w:p w:rsidR="001C1308" w:rsidRDefault="001C1308" w:rsidP="00124351">
      <w:pPr>
        <w:pStyle w:val="af"/>
        <w:spacing w:after="0"/>
        <w:rPr>
          <w:rFonts w:cs="Times New Roman"/>
        </w:rPr>
      </w:pPr>
    </w:p>
    <w:p w:rsidR="006048BB" w:rsidRDefault="006048BB" w:rsidP="00124351">
      <w:pPr>
        <w:pStyle w:val="af"/>
        <w:spacing w:after="0"/>
        <w:rPr>
          <w:rFonts w:cs="Times New Roman"/>
        </w:rPr>
      </w:pPr>
    </w:p>
    <w:p w:rsidR="006048BB" w:rsidRDefault="006048BB" w:rsidP="00124351">
      <w:pPr>
        <w:pStyle w:val="af"/>
        <w:spacing w:after="0"/>
        <w:rPr>
          <w:rFonts w:cs="Times New Roman"/>
        </w:rPr>
      </w:pPr>
    </w:p>
    <w:p w:rsidR="006048BB" w:rsidRDefault="006048BB" w:rsidP="006048BB">
      <w:pPr>
        <w:pStyle w:val="af"/>
        <w:spacing w:after="0"/>
        <w:ind w:left="0"/>
        <w:rPr>
          <w:rFonts w:cs="Times New Roman"/>
        </w:rPr>
        <w:sectPr w:rsidR="006048BB" w:rsidSect="004C387B">
          <w:pgSz w:w="11906" w:h="16838"/>
          <w:pgMar w:top="426" w:right="850" w:bottom="1134" w:left="1701" w:header="708" w:footer="708" w:gutter="0"/>
          <w:cols w:space="708"/>
          <w:titlePg/>
          <w:docGrid w:linePitch="360"/>
        </w:sectPr>
      </w:pPr>
    </w:p>
    <w:tbl>
      <w:tblPr>
        <w:tblStyle w:val="af5"/>
        <w:tblW w:w="16061" w:type="dxa"/>
        <w:tblLayout w:type="fixed"/>
        <w:tblLook w:val="04A0" w:firstRow="1" w:lastRow="0" w:firstColumn="1" w:lastColumn="0" w:noHBand="0" w:noVBand="1"/>
      </w:tblPr>
      <w:tblGrid>
        <w:gridCol w:w="2972"/>
        <w:gridCol w:w="1505"/>
        <w:gridCol w:w="1047"/>
        <w:gridCol w:w="1005"/>
        <w:gridCol w:w="1215"/>
        <w:gridCol w:w="1229"/>
        <w:gridCol w:w="1418"/>
        <w:gridCol w:w="1262"/>
        <w:gridCol w:w="1431"/>
        <w:gridCol w:w="1418"/>
        <w:gridCol w:w="1559"/>
      </w:tblGrid>
      <w:tr w:rsidR="003E5490" w:rsidRPr="003E5490" w:rsidTr="00061DF3">
        <w:trPr>
          <w:trHeight w:val="465"/>
        </w:trPr>
        <w:tc>
          <w:tcPr>
            <w:tcW w:w="16061" w:type="dxa"/>
            <w:gridSpan w:val="11"/>
            <w:tcBorders>
              <w:top w:val="nil"/>
              <w:left w:val="nil"/>
              <w:right w:val="nil"/>
            </w:tcBorders>
            <w:hideMark/>
          </w:tcPr>
          <w:p w:rsidR="00910772" w:rsidRPr="00605012" w:rsidRDefault="00910772" w:rsidP="00910772">
            <w:pPr>
              <w:jc w:val="right"/>
            </w:pPr>
            <w:r w:rsidRPr="00605012">
              <w:lastRenderedPageBreak/>
              <w:t xml:space="preserve">Приложение </w:t>
            </w:r>
          </w:p>
          <w:p w:rsidR="00910772" w:rsidRDefault="00910772" w:rsidP="00910772">
            <w:pPr>
              <w:jc w:val="right"/>
            </w:pPr>
            <w:r w:rsidRPr="00605012">
              <w:t xml:space="preserve">к постановлению Администрации  городского </w:t>
            </w:r>
          </w:p>
          <w:p w:rsidR="00910772" w:rsidRPr="00605012" w:rsidRDefault="00910772" w:rsidP="00910772">
            <w:pPr>
              <w:jc w:val="right"/>
            </w:pPr>
            <w:r w:rsidRPr="00605012">
              <w:t>округа Электросталь Московской области</w:t>
            </w:r>
          </w:p>
          <w:p w:rsidR="00FF6D0F" w:rsidRDefault="00910772" w:rsidP="00910772">
            <w:pPr>
              <w:pStyle w:val="af"/>
              <w:jc w:val="right"/>
              <w:rPr>
                <w:rFonts w:cs="Times New Roman"/>
                <w:b/>
                <w:sz w:val="18"/>
                <w:szCs w:val="20"/>
              </w:rPr>
            </w:pPr>
            <w:r>
              <w:t xml:space="preserve">от </w:t>
            </w:r>
            <w:r>
              <w:rPr>
                <w:u w:val="single"/>
              </w:rPr>
              <w:t xml:space="preserve">         </w:t>
            </w:r>
            <w:r w:rsidRPr="00534856">
              <w:rPr>
                <w:u w:val="single"/>
              </w:rPr>
              <w:t xml:space="preserve">    </w:t>
            </w:r>
            <w:r w:rsidRPr="00605012">
              <w:t>№</w:t>
            </w:r>
            <w:r>
              <w:rPr>
                <w:u w:val="single"/>
              </w:rPr>
              <w:t xml:space="preserve">         </w:t>
            </w:r>
            <w:r w:rsidRPr="00910772">
              <w:rPr>
                <w:color w:val="FFFFFF" w:themeColor="background1"/>
                <w:u w:val="single"/>
              </w:rPr>
              <w:t>.</w:t>
            </w:r>
          </w:p>
          <w:p w:rsidR="003E5490" w:rsidRPr="00910772" w:rsidRDefault="00061DF3" w:rsidP="003E5490">
            <w:pPr>
              <w:pStyle w:val="af"/>
              <w:rPr>
                <w:rFonts w:cs="Times New Roman"/>
                <w:b/>
              </w:rPr>
            </w:pPr>
            <w:r w:rsidRPr="00910772">
              <w:rPr>
                <w:rFonts w:cs="Times New Roman"/>
                <w:b/>
              </w:rPr>
              <w:t xml:space="preserve">Прогноз социально-экономического развития </w:t>
            </w:r>
            <w:r w:rsidR="00910772" w:rsidRPr="00910772">
              <w:rPr>
                <w:rFonts w:cs="Times New Roman"/>
                <w:b/>
              </w:rPr>
              <w:t>городского округа электросталь М</w:t>
            </w:r>
            <w:r w:rsidRPr="00910772">
              <w:rPr>
                <w:rFonts w:cs="Times New Roman"/>
                <w:b/>
              </w:rPr>
              <w:t>осковской области на 2022-2024 годы</w:t>
            </w:r>
          </w:p>
        </w:tc>
      </w:tr>
      <w:tr w:rsidR="003E5490" w:rsidRPr="003E5490" w:rsidTr="003E5490">
        <w:trPr>
          <w:trHeight w:val="330"/>
        </w:trPr>
        <w:tc>
          <w:tcPr>
            <w:tcW w:w="2972" w:type="dxa"/>
            <w:vMerge w:val="restart"/>
            <w:hideMark/>
          </w:tcPr>
          <w:p w:rsidR="003E5490" w:rsidRPr="003E5490" w:rsidRDefault="003E5490" w:rsidP="003E5490">
            <w:pPr>
              <w:pStyle w:val="af"/>
              <w:rPr>
                <w:rFonts w:cs="Times New Roman"/>
                <w:bCs/>
                <w:sz w:val="20"/>
                <w:szCs w:val="20"/>
              </w:rPr>
            </w:pPr>
            <w:r w:rsidRPr="003E5490">
              <w:rPr>
                <w:rFonts w:cs="Times New Roman"/>
                <w:bCs/>
                <w:sz w:val="20"/>
                <w:szCs w:val="20"/>
              </w:rPr>
              <w:t>Показатели</w:t>
            </w:r>
          </w:p>
        </w:tc>
        <w:tc>
          <w:tcPr>
            <w:tcW w:w="1505" w:type="dxa"/>
            <w:vMerge w:val="restart"/>
            <w:hideMark/>
          </w:tcPr>
          <w:p w:rsidR="003E5490" w:rsidRPr="003E5490" w:rsidRDefault="003E5490" w:rsidP="003E5490">
            <w:pPr>
              <w:pStyle w:val="af"/>
              <w:ind w:left="34"/>
              <w:jc w:val="center"/>
              <w:rPr>
                <w:rFonts w:cs="Times New Roman"/>
                <w:bCs/>
                <w:sz w:val="20"/>
                <w:szCs w:val="20"/>
              </w:rPr>
            </w:pPr>
            <w:r w:rsidRPr="003E5490">
              <w:rPr>
                <w:rFonts w:cs="Times New Roman"/>
                <w:bCs/>
                <w:sz w:val="20"/>
                <w:szCs w:val="20"/>
              </w:rPr>
              <w:t>Единицы измерения</w:t>
            </w:r>
          </w:p>
        </w:tc>
        <w:tc>
          <w:tcPr>
            <w:tcW w:w="2052" w:type="dxa"/>
            <w:gridSpan w:val="2"/>
            <w:hideMark/>
          </w:tcPr>
          <w:p w:rsidR="003E5490" w:rsidRPr="003E5490" w:rsidRDefault="003E5490" w:rsidP="003E5490">
            <w:pPr>
              <w:pStyle w:val="af"/>
              <w:jc w:val="center"/>
              <w:rPr>
                <w:rFonts w:cs="Times New Roman"/>
                <w:bCs/>
                <w:sz w:val="20"/>
                <w:szCs w:val="20"/>
              </w:rPr>
            </w:pPr>
            <w:r w:rsidRPr="003E5490">
              <w:rPr>
                <w:rFonts w:cs="Times New Roman"/>
                <w:bCs/>
                <w:sz w:val="20"/>
                <w:szCs w:val="20"/>
              </w:rPr>
              <w:t>Отчет</w:t>
            </w:r>
          </w:p>
        </w:tc>
        <w:tc>
          <w:tcPr>
            <w:tcW w:w="1215" w:type="dxa"/>
            <w:hideMark/>
          </w:tcPr>
          <w:p w:rsidR="003E5490" w:rsidRPr="003E5490" w:rsidRDefault="003E5490" w:rsidP="003E5490">
            <w:pPr>
              <w:pStyle w:val="af"/>
              <w:jc w:val="center"/>
              <w:rPr>
                <w:rFonts w:cs="Times New Roman"/>
                <w:bCs/>
                <w:sz w:val="20"/>
                <w:szCs w:val="20"/>
              </w:rPr>
            </w:pPr>
            <w:r w:rsidRPr="003E5490">
              <w:rPr>
                <w:rFonts w:cs="Times New Roman"/>
                <w:bCs/>
                <w:sz w:val="20"/>
                <w:szCs w:val="20"/>
              </w:rPr>
              <w:t>Оценка</w:t>
            </w:r>
          </w:p>
        </w:tc>
        <w:tc>
          <w:tcPr>
            <w:tcW w:w="2647" w:type="dxa"/>
            <w:gridSpan w:val="2"/>
            <w:hideMark/>
          </w:tcPr>
          <w:p w:rsidR="003E5490" w:rsidRPr="003E5490" w:rsidRDefault="003E5490" w:rsidP="003E5490">
            <w:pPr>
              <w:pStyle w:val="af"/>
              <w:jc w:val="center"/>
              <w:rPr>
                <w:rFonts w:cs="Times New Roman"/>
                <w:bCs/>
                <w:sz w:val="20"/>
                <w:szCs w:val="20"/>
              </w:rPr>
            </w:pPr>
            <w:r w:rsidRPr="003E5490">
              <w:rPr>
                <w:rFonts w:cs="Times New Roman"/>
                <w:bCs/>
                <w:sz w:val="20"/>
                <w:szCs w:val="20"/>
              </w:rPr>
              <w:t>2022</w:t>
            </w:r>
          </w:p>
        </w:tc>
        <w:tc>
          <w:tcPr>
            <w:tcW w:w="2693" w:type="dxa"/>
            <w:gridSpan w:val="2"/>
            <w:hideMark/>
          </w:tcPr>
          <w:p w:rsidR="003E5490" w:rsidRPr="003E5490" w:rsidRDefault="003E5490" w:rsidP="003E5490">
            <w:pPr>
              <w:pStyle w:val="af"/>
              <w:jc w:val="center"/>
              <w:rPr>
                <w:rFonts w:cs="Times New Roman"/>
                <w:bCs/>
                <w:sz w:val="20"/>
                <w:szCs w:val="20"/>
              </w:rPr>
            </w:pPr>
            <w:r w:rsidRPr="003E5490">
              <w:rPr>
                <w:rFonts w:cs="Times New Roman"/>
                <w:bCs/>
                <w:sz w:val="20"/>
                <w:szCs w:val="20"/>
              </w:rPr>
              <w:t>2023</w:t>
            </w:r>
          </w:p>
        </w:tc>
        <w:tc>
          <w:tcPr>
            <w:tcW w:w="2977" w:type="dxa"/>
            <w:gridSpan w:val="2"/>
            <w:hideMark/>
          </w:tcPr>
          <w:p w:rsidR="003E5490" w:rsidRPr="003E5490" w:rsidRDefault="003E5490" w:rsidP="003E5490">
            <w:pPr>
              <w:pStyle w:val="af"/>
              <w:jc w:val="center"/>
              <w:rPr>
                <w:rFonts w:cs="Times New Roman"/>
                <w:bCs/>
                <w:sz w:val="20"/>
                <w:szCs w:val="20"/>
              </w:rPr>
            </w:pPr>
            <w:r w:rsidRPr="003E5490">
              <w:rPr>
                <w:rFonts w:cs="Times New Roman"/>
                <w:bCs/>
                <w:sz w:val="20"/>
                <w:szCs w:val="20"/>
              </w:rPr>
              <w:t>2024</w:t>
            </w:r>
          </w:p>
        </w:tc>
      </w:tr>
      <w:tr w:rsidR="003E5490" w:rsidRPr="003E5490" w:rsidTr="003E5490">
        <w:trPr>
          <w:trHeight w:val="990"/>
        </w:trPr>
        <w:tc>
          <w:tcPr>
            <w:tcW w:w="2972" w:type="dxa"/>
            <w:vMerge/>
            <w:hideMark/>
          </w:tcPr>
          <w:p w:rsidR="003E5490" w:rsidRPr="003E5490" w:rsidRDefault="003E5490" w:rsidP="003E5490">
            <w:pPr>
              <w:pStyle w:val="af"/>
              <w:rPr>
                <w:rFonts w:cs="Times New Roman"/>
                <w:bCs/>
                <w:sz w:val="20"/>
                <w:szCs w:val="20"/>
              </w:rPr>
            </w:pPr>
          </w:p>
        </w:tc>
        <w:tc>
          <w:tcPr>
            <w:tcW w:w="1505" w:type="dxa"/>
            <w:vMerge/>
            <w:hideMark/>
          </w:tcPr>
          <w:p w:rsidR="003E5490" w:rsidRPr="003E5490" w:rsidRDefault="003E5490" w:rsidP="003E5490">
            <w:pPr>
              <w:pStyle w:val="af"/>
              <w:ind w:left="34"/>
              <w:jc w:val="center"/>
              <w:rPr>
                <w:rFonts w:cs="Times New Roman"/>
                <w:bCs/>
                <w:sz w:val="20"/>
                <w:szCs w:val="20"/>
              </w:rPr>
            </w:pPr>
          </w:p>
        </w:tc>
        <w:tc>
          <w:tcPr>
            <w:tcW w:w="1047" w:type="dxa"/>
            <w:hideMark/>
          </w:tcPr>
          <w:p w:rsidR="003E5490" w:rsidRPr="003E5490" w:rsidRDefault="003E5490" w:rsidP="003E5490">
            <w:pPr>
              <w:pStyle w:val="af"/>
              <w:ind w:left="88"/>
              <w:jc w:val="center"/>
              <w:rPr>
                <w:rFonts w:cs="Times New Roman"/>
                <w:bCs/>
                <w:sz w:val="20"/>
                <w:szCs w:val="20"/>
              </w:rPr>
            </w:pPr>
            <w:r w:rsidRPr="003E5490">
              <w:rPr>
                <w:rFonts w:cs="Times New Roman"/>
                <w:bCs/>
                <w:sz w:val="20"/>
                <w:szCs w:val="20"/>
              </w:rPr>
              <w:t>2019</w:t>
            </w:r>
          </w:p>
        </w:tc>
        <w:tc>
          <w:tcPr>
            <w:tcW w:w="1005" w:type="dxa"/>
            <w:hideMark/>
          </w:tcPr>
          <w:p w:rsidR="003E5490" w:rsidRPr="003E5490" w:rsidRDefault="003E5490" w:rsidP="003E5490">
            <w:pPr>
              <w:pStyle w:val="af"/>
              <w:ind w:left="88"/>
              <w:jc w:val="center"/>
              <w:rPr>
                <w:rFonts w:cs="Times New Roman"/>
                <w:bCs/>
                <w:sz w:val="20"/>
                <w:szCs w:val="20"/>
              </w:rPr>
            </w:pPr>
            <w:r w:rsidRPr="003E5490">
              <w:rPr>
                <w:rFonts w:cs="Times New Roman"/>
                <w:bCs/>
                <w:sz w:val="20"/>
                <w:szCs w:val="20"/>
              </w:rPr>
              <w:t>2020</w:t>
            </w:r>
          </w:p>
        </w:tc>
        <w:tc>
          <w:tcPr>
            <w:tcW w:w="1215" w:type="dxa"/>
            <w:hideMark/>
          </w:tcPr>
          <w:p w:rsidR="003E5490" w:rsidRPr="003E5490" w:rsidRDefault="003E5490" w:rsidP="003E5490">
            <w:pPr>
              <w:pStyle w:val="af"/>
              <w:ind w:left="88"/>
              <w:jc w:val="center"/>
              <w:rPr>
                <w:rFonts w:cs="Times New Roman"/>
                <w:bCs/>
                <w:sz w:val="20"/>
                <w:szCs w:val="20"/>
              </w:rPr>
            </w:pPr>
            <w:r w:rsidRPr="003E5490">
              <w:rPr>
                <w:rFonts w:cs="Times New Roman"/>
                <w:bCs/>
                <w:sz w:val="20"/>
                <w:szCs w:val="20"/>
              </w:rPr>
              <w:t>2021</w:t>
            </w:r>
          </w:p>
        </w:tc>
        <w:tc>
          <w:tcPr>
            <w:tcW w:w="1229" w:type="dxa"/>
            <w:hideMark/>
          </w:tcPr>
          <w:p w:rsidR="003E5490" w:rsidRPr="003E5490" w:rsidRDefault="003E5490" w:rsidP="003E5490">
            <w:pPr>
              <w:pStyle w:val="af"/>
              <w:ind w:left="176"/>
              <w:rPr>
                <w:rFonts w:cs="Times New Roman"/>
                <w:bCs/>
                <w:sz w:val="20"/>
                <w:szCs w:val="20"/>
              </w:rPr>
            </w:pPr>
            <w:r w:rsidRPr="003E5490">
              <w:rPr>
                <w:rFonts w:cs="Times New Roman"/>
                <w:bCs/>
                <w:sz w:val="20"/>
                <w:szCs w:val="20"/>
              </w:rPr>
              <w:t>Прогноз вариант 1 (консервативный)</w:t>
            </w:r>
          </w:p>
        </w:tc>
        <w:tc>
          <w:tcPr>
            <w:tcW w:w="1418" w:type="dxa"/>
            <w:hideMark/>
          </w:tcPr>
          <w:p w:rsidR="003E5490" w:rsidRPr="003E5490" w:rsidRDefault="003E5490" w:rsidP="003E5490">
            <w:pPr>
              <w:pStyle w:val="af"/>
              <w:ind w:left="176"/>
              <w:rPr>
                <w:rFonts w:cs="Times New Roman"/>
                <w:bCs/>
                <w:sz w:val="20"/>
                <w:szCs w:val="20"/>
              </w:rPr>
            </w:pPr>
            <w:r w:rsidRPr="003E5490">
              <w:rPr>
                <w:rFonts w:cs="Times New Roman"/>
                <w:bCs/>
                <w:sz w:val="20"/>
                <w:szCs w:val="20"/>
              </w:rPr>
              <w:t>Прогноз вариант 2 (базовый)</w:t>
            </w:r>
          </w:p>
        </w:tc>
        <w:tc>
          <w:tcPr>
            <w:tcW w:w="1262" w:type="dxa"/>
            <w:hideMark/>
          </w:tcPr>
          <w:p w:rsidR="003E5490" w:rsidRPr="003E5490" w:rsidRDefault="003E5490" w:rsidP="003E5490">
            <w:pPr>
              <w:pStyle w:val="af"/>
              <w:ind w:left="176"/>
              <w:rPr>
                <w:rFonts w:cs="Times New Roman"/>
                <w:bCs/>
                <w:sz w:val="20"/>
                <w:szCs w:val="20"/>
              </w:rPr>
            </w:pPr>
            <w:r w:rsidRPr="003E5490">
              <w:rPr>
                <w:rFonts w:cs="Times New Roman"/>
                <w:bCs/>
                <w:sz w:val="20"/>
                <w:szCs w:val="20"/>
              </w:rPr>
              <w:t>Прогноз вариант 1 (консервативный)</w:t>
            </w:r>
          </w:p>
        </w:tc>
        <w:tc>
          <w:tcPr>
            <w:tcW w:w="1431" w:type="dxa"/>
            <w:hideMark/>
          </w:tcPr>
          <w:p w:rsidR="003E5490" w:rsidRPr="003E5490" w:rsidRDefault="003E5490" w:rsidP="003E5490">
            <w:pPr>
              <w:pStyle w:val="af"/>
              <w:ind w:left="176"/>
              <w:rPr>
                <w:rFonts w:cs="Times New Roman"/>
                <w:bCs/>
                <w:sz w:val="20"/>
                <w:szCs w:val="20"/>
              </w:rPr>
            </w:pPr>
            <w:r w:rsidRPr="003E5490">
              <w:rPr>
                <w:rFonts w:cs="Times New Roman"/>
                <w:bCs/>
                <w:sz w:val="20"/>
                <w:szCs w:val="20"/>
              </w:rPr>
              <w:t>Прогноз вариант 2 (базовый)</w:t>
            </w:r>
          </w:p>
        </w:tc>
        <w:tc>
          <w:tcPr>
            <w:tcW w:w="1418" w:type="dxa"/>
            <w:hideMark/>
          </w:tcPr>
          <w:p w:rsidR="003E5490" w:rsidRPr="003E5490" w:rsidRDefault="003E5490" w:rsidP="003E5490">
            <w:pPr>
              <w:pStyle w:val="af"/>
              <w:ind w:left="176"/>
              <w:rPr>
                <w:rFonts w:cs="Times New Roman"/>
                <w:bCs/>
                <w:sz w:val="20"/>
                <w:szCs w:val="20"/>
              </w:rPr>
            </w:pPr>
            <w:r w:rsidRPr="003E5490">
              <w:rPr>
                <w:rFonts w:cs="Times New Roman"/>
                <w:bCs/>
                <w:sz w:val="20"/>
                <w:szCs w:val="20"/>
              </w:rPr>
              <w:t>Прогноз вариант 1 (консервативный)</w:t>
            </w:r>
          </w:p>
        </w:tc>
        <w:tc>
          <w:tcPr>
            <w:tcW w:w="1559" w:type="dxa"/>
            <w:hideMark/>
          </w:tcPr>
          <w:p w:rsidR="003E5490" w:rsidRPr="003E5490" w:rsidRDefault="003E5490" w:rsidP="003E5490">
            <w:pPr>
              <w:pStyle w:val="af"/>
              <w:ind w:left="176"/>
              <w:rPr>
                <w:rFonts w:cs="Times New Roman"/>
                <w:bCs/>
                <w:sz w:val="20"/>
                <w:szCs w:val="20"/>
              </w:rPr>
            </w:pPr>
            <w:r w:rsidRPr="003E5490">
              <w:rPr>
                <w:rFonts w:cs="Times New Roman"/>
                <w:bCs/>
                <w:sz w:val="20"/>
                <w:szCs w:val="20"/>
              </w:rPr>
              <w:t>Прогноз вариант 2 (базовый)</w:t>
            </w:r>
          </w:p>
        </w:tc>
      </w:tr>
      <w:tr w:rsidR="003E5490" w:rsidRPr="003E5490" w:rsidTr="003E5490">
        <w:trPr>
          <w:trHeight w:val="330"/>
        </w:trPr>
        <w:tc>
          <w:tcPr>
            <w:tcW w:w="2972" w:type="dxa"/>
            <w:hideMark/>
          </w:tcPr>
          <w:p w:rsidR="003E5490" w:rsidRPr="00061DF3" w:rsidRDefault="003E5490" w:rsidP="003E5490">
            <w:pPr>
              <w:pStyle w:val="af"/>
              <w:ind w:left="171"/>
              <w:rPr>
                <w:rFonts w:cs="Times New Roman"/>
                <w:b/>
                <w:bCs/>
                <w:sz w:val="20"/>
                <w:szCs w:val="20"/>
              </w:rPr>
            </w:pPr>
            <w:r w:rsidRPr="00061DF3">
              <w:rPr>
                <w:rFonts w:cs="Times New Roman"/>
                <w:b/>
                <w:bCs/>
                <w:sz w:val="20"/>
                <w:szCs w:val="20"/>
              </w:rPr>
              <w:t>1. Демографические показатели</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00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(на конец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163 901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160 337</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159 360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158 290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158 960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157 410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158 811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156 730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158 811</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Число родившихся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1 286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1 303</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1 222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1 115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1 260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1 201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1 328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1 215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1 343</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Общий коэффициент рождаемости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число родившихся на 1000 человек населения</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7,8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8,0</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7,6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7,0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7,9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7,6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8,4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7,7</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8,5</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Число умерших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2 183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2 534</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2 648</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2 622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2 589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2 656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2 573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2 694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2 573</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Общий коэффициент смертности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число умерших на 1000 человек населения</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13,3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15,6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16,6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16,5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16,3</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16,8</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16,2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17,2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16,2</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Естественный прирост (убыль) населения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-897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-1 231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-1 426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-1 507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-1 329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-1 455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-1 245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-1 479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-1 230</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Коэффициент естественного прироста (убыли) населения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на 1000 человек населения</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-7,6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-8,9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-9,5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-8,4</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-9,2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-7,8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-9,4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-7,7</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Миграционный прирост (убыль) населения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-566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-2 335</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449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437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929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575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1 096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799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1 230</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Общий прирост населения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-1 463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-3 566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-977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-1 070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-880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-149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-680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0</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(среднегодовая)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164 633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162 119</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159 849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158 825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159 160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157 850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158 886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157 070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158 811</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lastRenderedPageBreak/>
              <w:t>по численности постоянного населения, в том числе в возрасте:</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3E5490">
            <w:pPr>
              <w:pStyle w:val="af"/>
              <w:ind w:left="0"/>
              <w:rPr>
                <w:rFonts w:cs="Times New Roman"/>
                <w:sz w:val="20"/>
                <w:szCs w:val="20"/>
              </w:rPr>
            </w:pPr>
            <w:r w:rsidRPr="003E5490">
              <w:rPr>
                <w:rFonts w:cs="Times New Roman"/>
                <w:sz w:val="20"/>
                <w:szCs w:val="20"/>
              </w:rPr>
              <w:t> </w:t>
            </w:r>
          </w:p>
        </w:tc>
        <w:tc>
          <w:tcPr>
            <w:tcW w:w="1005" w:type="dxa"/>
            <w:noWrap/>
            <w:hideMark/>
          </w:tcPr>
          <w:p w:rsidR="003E5490" w:rsidRPr="003E5490" w:rsidRDefault="003E5490" w:rsidP="003E5490">
            <w:pPr>
              <w:pStyle w:val="af"/>
              <w:ind w:left="0"/>
              <w:rPr>
                <w:rFonts w:cs="Times New Roman"/>
                <w:sz w:val="20"/>
                <w:szCs w:val="20"/>
              </w:rPr>
            </w:pPr>
            <w:r w:rsidRPr="003E5490">
              <w:rPr>
                <w:rFonts w:cs="Times New Roman"/>
                <w:sz w:val="20"/>
                <w:szCs w:val="20"/>
              </w:rPr>
              <w:t> </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до 3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4 368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4 015</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3 779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3 640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3 799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3 564</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3 859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3 565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3 990</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от 3 до 7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8 824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8 537</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8 336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7 845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7 871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7 361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7 416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6 925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7 000</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от 7 до 17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16 433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16 308</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16 553</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16 805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16 857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17 027</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17 141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17 168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17 335</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0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1 281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1 285</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1 226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1 118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1 267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1 205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1 337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1 221</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1 353</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1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1 493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1 260</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1 289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1 229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1 234</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1 124</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1 277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1 213</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1 348</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2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1 594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1 470</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1 264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1 293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1 298</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1 235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1 245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1 131</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1 289</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3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1 728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1 569</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1 475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1 269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1 274</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1 299</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1 309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1 244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1 258</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4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1 821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1 702</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1 574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1 480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1 485</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1 275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1 286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1 308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1 323</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5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1 800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1 795</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1 707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1 579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1 585</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1 486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1 497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1 284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1 300</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6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1 721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1 775</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1 800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1 712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1 717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1 585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1 596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1 495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1 510</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7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1 754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1 696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1 780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1 805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1 810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1 716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1 728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1 594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1 609</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8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1 691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1 704</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1 673</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1 758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1 763</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1 783</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1 795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1 698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1 715</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9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1 581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1 644</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1 683</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1 652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1 657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1 738</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1 749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1 765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1 782</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10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1 526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1 536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1 624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1 662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1 667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1 633</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1 644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1 720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1 736</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lastRenderedPageBreak/>
              <w:t>Справочно: численность постоянного населения в возрасте 11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1 552</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1 480</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1 515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1 603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1 608</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1 643</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1 653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1 615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1 631</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12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1 380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1 511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1 461</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1 496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1 501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1 585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1 595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1 627</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1 642</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13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1 381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1 339</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1 492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1 443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1 447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1 479</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1 488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1 569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1 584</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14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1 388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1 340</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1 320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1 474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1 478</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1 425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1 435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1 463</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1 477</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15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1 417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1 346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1 321</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1 301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1 306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1 456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1 466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1 409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1 423</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16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1 377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1 376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1 327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1 302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1 307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1 284</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1 294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1 440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1 454</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численность постоянного населения в возрасте 17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1 386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1 336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1 357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1 309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1 313</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1 285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1 294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1 268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1 282</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b/>
                <w:bCs/>
                <w:sz w:val="20"/>
                <w:szCs w:val="20"/>
              </w:rPr>
            </w:pPr>
            <w:r w:rsidRPr="003E5490">
              <w:rPr>
                <w:rFonts w:cs="Times New Roman"/>
                <w:b/>
                <w:bCs/>
                <w:sz w:val="20"/>
                <w:szCs w:val="20"/>
              </w:rPr>
              <w:t>3. Промышленное производство</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млн.руб.в ценах соответствующих лет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51 943,7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52 536,4</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47 967,0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48 122,7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49 432,4</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48 719,1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51 212,2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49 592,2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53 336,3</w:t>
            </w:r>
          </w:p>
        </w:tc>
      </w:tr>
      <w:tr w:rsidR="003E5490" w:rsidRPr="003E5490" w:rsidTr="003E5490">
        <w:trPr>
          <w:trHeight w:val="163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107,1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101,1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91,3</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100,3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103,1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101,2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103,6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104,1</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объем отгруженных товаров собственного производства, выполненных работ и услуг собственными силами по видам экономической деятельности по крупным и средним организациям (без организаций с численностью работающих менее 15 человек)</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млн.руб.в ценах соответствующих летт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млн.руб.в ценах соответствующих лет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48 761,6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48 845,2</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43 685,9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43 729,6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44 996,5</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44 166,9</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46 571,3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44 829,4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48 434,2</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105,3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100,2</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89,4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100,1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103,0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103,5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млн.руб.в ценах соответствующих лет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2 355,1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2 800,1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3 458,0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3 561,7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3 596,3</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3 704,2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3 776,1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3 889,4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4 002,7</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169,6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118,9</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123,5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103,0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105,0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105,0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106,0</w:t>
            </w:r>
          </w:p>
        </w:tc>
      </w:tr>
      <w:tr w:rsidR="003E5490" w:rsidRPr="003E5490" w:rsidTr="003E5490">
        <w:trPr>
          <w:trHeight w:val="163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млн.руб.в ценах соответствующих лет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826,9</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891,1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823,1</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831,4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839,6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848,0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864,8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873,4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899,4</w:t>
            </w:r>
          </w:p>
        </w:tc>
      </w:tr>
      <w:tr w:rsidR="003E5490" w:rsidRPr="003E5490" w:rsidTr="003E5490">
        <w:trPr>
          <w:trHeight w:val="163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107,8</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92,4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102,0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102,0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103,0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103,0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b/>
                <w:bCs/>
                <w:sz w:val="20"/>
                <w:szCs w:val="20"/>
              </w:rPr>
            </w:pPr>
            <w:r w:rsidRPr="003E5490">
              <w:rPr>
                <w:rFonts w:cs="Times New Roman"/>
                <w:b/>
                <w:bCs/>
                <w:sz w:val="20"/>
                <w:szCs w:val="20"/>
              </w:rPr>
              <w:t>6. Транспорт</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Протяженность автомобильных дорог общего пользования с твердым типом покрытия местного значения, километр</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километр</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159,50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162,60</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162,60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162,60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162,77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162,60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163,34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162,60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163,34</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b/>
                <w:bCs/>
                <w:sz w:val="20"/>
                <w:szCs w:val="20"/>
              </w:rPr>
            </w:pPr>
            <w:r w:rsidRPr="003E5490">
              <w:rPr>
                <w:rFonts w:cs="Times New Roman"/>
                <w:b/>
                <w:bCs/>
                <w:sz w:val="20"/>
                <w:szCs w:val="20"/>
              </w:rPr>
              <w:t>7. Малое и среднее предпринимательство, включая микропредприятия</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Число малых и средних предприятий, включая микропредприятия (на конец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2 017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1 935</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1 895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1 910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1 925</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1 936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1 975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1 986</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2 068</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в том числе, малых предприятий (включая микропредприятия)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2 000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1 918</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1 879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1 894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1 908</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1 920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1 958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1 969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2 050</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b/>
                <w:bCs/>
                <w:sz w:val="20"/>
                <w:szCs w:val="20"/>
              </w:rPr>
            </w:pPr>
            <w:r w:rsidRPr="003E5490">
              <w:rPr>
                <w:rFonts w:cs="Times New Roman"/>
                <w:b/>
                <w:bCs/>
                <w:sz w:val="20"/>
                <w:szCs w:val="20"/>
              </w:rPr>
              <w:t>8. Инвестиции</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3 431,93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3 768,87</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3 985,00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3 750,00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4 080,00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3 710,00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4 190,00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3 510,00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4 250,00</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индекс физического объема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62,8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103,3</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100,6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89,3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97,2</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93,8</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97,3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89,7</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96,1</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индекс-дефлятор цен</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107,1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106,3</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105,1</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105,4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105,3</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105,5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105,5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105,5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105,6</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Инвестиции в основной капитал (без субъектов малого предпринимательства и параметров неформальной деятельности) из местных бюджетов</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 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114,27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44,16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15,00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29,65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38,05</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37,13</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61,95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2,05</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b/>
                <w:bCs/>
                <w:sz w:val="20"/>
                <w:szCs w:val="20"/>
              </w:rPr>
            </w:pPr>
            <w:r w:rsidRPr="003E5490">
              <w:rPr>
                <w:rFonts w:cs="Times New Roman"/>
                <w:b/>
                <w:bCs/>
                <w:sz w:val="20"/>
                <w:szCs w:val="20"/>
              </w:rPr>
              <w:t>9. Строительство и жилищно-коммунальное хозяйство</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Объем работ, выполненных по виду экономической деятельности «Строительство» (Раздел F) по крупным и средним организациям (без организаций с численностью работающих менее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2 496,1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5 461,2</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2 500,0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1 500,0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2 000,0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1 500,0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2 100,0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1 500,0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2 250,0</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Индекс производства по виду деятельности «Строительство» (Раздел F)</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245,8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211,2</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44,2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57,5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76,8</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96,0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100,6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96,0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102,5</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индекс-дефлятор цен</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106,5</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103,6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103,6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104,3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104,2</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104,2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104,4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104,2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104,5</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Объем жилищного строительства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тыс. кв. м общей площади</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30,47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15,81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39,21</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8,90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15,66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7,70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6,40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33,66</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в том числе:</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Ввод общей площади жилых домов, построенных населением</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тыс. кв. м общей площади</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4,98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6,63</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7,90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8,90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8,99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7,70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6,40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6,50</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ввод жилья в многоквартирных жилых домах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тыс. кв. м общей площади</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25,49</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9,18</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31,31</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6,67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27,16</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Уровень обеспеченности населения жильем (на конец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кв. м на человека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21,80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22,32</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22,70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22,91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22,86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23,04</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22,93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23,18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23,14</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Жилищный фонд на конец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тыс. кв. м</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3 573,1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3 578,7</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3 617,9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3 626,8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3 633,6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3 626,8</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3 641,3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3 633,3</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3 675,0</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b/>
                <w:bCs/>
                <w:sz w:val="20"/>
                <w:szCs w:val="20"/>
              </w:rPr>
            </w:pPr>
            <w:r w:rsidRPr="003E5490">
              <w:rPr>
                <w:rFonts w:cs="Times New Roman"/>
                <w:b/>
                <w:bCs/>
                <w:sz w:val="20"/>
                <w:szCs w:val="20"/>
              </w:rPr>
              <w:t>12. Труд и заработная плата</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Количество созданных рабочих мест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240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311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700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200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300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250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350</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Количество созданных рабочих мест в рамках действия институтов развития территорий (инновационных территориальных кластеров, индустриальных парков, технопарков</w:t>
            </w:r>
            <w:r w:rsidRPr="003E5490">
              <w:rPr>
                <w:rFonts w:cs="Times New Roman"/>
                <w:sz w:val="20"/>
                <w:szCs w:val="20"/>
              </w:rPr>
              <w:br/>
              <w:t>в сфере высоких технологий, особых экономических зон)</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500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в том числе</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в инновационных территориальных кластерах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в индустриальных парках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500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в технопарках в сфере высоких технологий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в особых экономических зонах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Численность официально зарегистрированных безработных, на конец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674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1 741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727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712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666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641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530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546</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337</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Фонд начисленной заработной платы всех работников</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 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23 530,0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24 310,8</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24 890,9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25 749,8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26 660,0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26 738,2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28 362,5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27 862,4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29 897,0</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фонда заработной платы</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106,9</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103,3</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102,4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103,5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107,1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103,8</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106,4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104,2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105,4</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Фонд заработной платы по крупным и средним организациям (включая организации с численностью до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 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18 934,1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19 301,4</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19 690,9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20 399,8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21 260,0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21 338,2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22 762,5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22 362,4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24 147,0</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фонда заработной платы по крупным и средним организациям (включая организации с численностью до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106,3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101,9</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102,0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103,6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108,0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104,6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107,1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104,8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106,1</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Фонд заработной платы по малым предприятиям (включая микропредприятия)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 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4 595,9</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5 009,4</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5 200,0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5 350,0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5 400,0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5 400,0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5 600,0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5 500,0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5 750,0</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фонда заработной платы по малым предприятиям (включая микропредприятия)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109,4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109,0</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103,8</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102,9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103,8</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100,9</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103,7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102,7</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Среднемесячная номинальная начисленная заработная плата работников (по полному кругу организаций)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45 776,4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47 106,3</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48 834,4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50 253,3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51 756,9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51 848,4</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54 534,9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53 530,1</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56 912,8</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среднемесячной номинальной начисленной заработной платы работников (по полному кругу организаций)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107,9</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102,9</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103,7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102,9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106,0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103,2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105,4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103,2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104,4</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Реальная заработная плата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103,1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100,2</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98,5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99,0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102,1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99,2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101,3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99,3</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100,3</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Индекс потребительских цен за период с начала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соответствующему периоду предыдущего года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104,7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102,7</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105,2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103,9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103,8</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Среднемесячная заработная плата работников по крупным и средним организациям (включая организации с численностью до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51 303,6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53 302,3</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54 925,8</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56 666,1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58 713,1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58 929,0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62 243,6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61 149,6</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65 332,8</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108,1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103,9</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103,0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103,2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106,9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106,0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103,8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105,0</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Среднемесячная заработная плата работников малых предприятий (включая микропредприятия)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31 704,6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32 534,5</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34 391,5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35 105,0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35 294,1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35 156,3</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36 274,1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35 529,7</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36 927,1</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среднемесячной заработной платы работников малых предприятий (включая микропредприятия)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108,4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102,6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105,7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102,1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102,6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102,8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101,1</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101,8</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Среднесписочная численность работников (без внешних совместителей) по полному кругу организаций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42 835</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43 007</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42 475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42 700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42 925</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42 975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43 340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43 375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43 776</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среднесписочной численности работников (без внешних совместителей) по полному кругу организаций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99,0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100,4</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98,8</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100,5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30 755</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30 176</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29 875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30 000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30 175</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30 175</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30 475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30 475</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30 800</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98,3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98,1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99,0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100,4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101,1</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Среднесписочная численность работников малых предприятий (включая микропредприятия)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12 080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12 831</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12 600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12 700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12 750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12 800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12 865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12 900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12 976</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Темп роста среднесписочной численности работников малых предприятий (включая микропредприятия)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101,0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106,2</w:t>
            </w: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98,2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100,8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101,2</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100,8</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100,9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100,9</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Среднемесячная заработная плата отдельных категорий работников социальной сферы и науки и отношение средней заработной платы отдельных категорий работников социальной сферы и науки к среднемесячному доходу от трудовой деятельности по Московской области:</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55 555,3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58 066,1</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62 305,3</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65 856,7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66 194,6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69 874,0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70 556,9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74 136,3</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75 230,8</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46 417,0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47 677,0</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49 960,2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52 751,2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53 021,9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55 969,1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56 516,1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59 383,2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60 259,9</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51 910,0</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52 820,0</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54 499,6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Среднемесячная номинальная начисленная заработная плата учителей в Московской области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58 091,4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58 675,4</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61 237,7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61 237,7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61 237,7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61 237,7</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61 237,7</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61 237,7</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61 237,7</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Образование</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6F7CAB">
            <w:pPr>
              <w:pStyle w:val="af"/>
              <w:jc w:val="center"/>
              <w:rPr>
                <w:rFonts w:cs="Times New Roman"/>
                <w:sz w:val="20"/>
                <w:szCs w:val="20"/>
              </w:rPr>
            </w:pP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Среднемесячная номинальная начисленная заработная плата:</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6F7CAB">
            <w:pPr>
              <w:pStyle w:val="af"/>
              <w:jc w:val="center"/>
              <w:rPr>
                <w:rFonts w:cs="Times New Roman"/>
                <w:sz w:val="20"/>
                <w:szCs w:val="20"/>
              </w:rPr>
            </w:pP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педагогических работников общеобразовательных организаций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51 548,8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52 759,5</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54 768,5</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54 768,5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55 316,2</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55 969,1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56 516,1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59 383,2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60 259,9</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педагогических работников дошкольных образовательных организаций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51 570,3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52 665,0</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54 499,6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55 044,6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55 044,6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54 499,6</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55 044,6</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педагогических работников организаций дополнительного образования детей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63 937,3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59 805,9</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61 934,9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61 934,9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62 554,2</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61 934,9</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62 554,2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61 934,9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62 554,2</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Отношение средней заработной платы педагогических работников общеобразовательных организаций к среднемесячному доходу от трудовой деятельности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111,1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110,7</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109,6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103,8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104,3</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99,3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99,7</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100,0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101,0</w:t>
            </w:r>
          </w:p>
        </w:tc>
      </w:tr>
      <w:tr w:rsidR="003E5490" w:rsidRPr="003E5490" w:rsidTr="003E5490">
        <w:trPr>
          <w:trHeight w:val="120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Отношение среднемесячной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110,1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101,9</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101,1</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101,1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102,1</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101,1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102,1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101,1</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102,1</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Культура</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6F7CAB">
            <w:pPr>
              <w:pStyle w:val="af"/>
              <w:jc w:val="center"/>
              <w:rPr>
                <w:rFonts w:cs="Times New Roman"/>
                <w:sz w:val="20"/>
                <w:szCs w:val="20"/>
              </w:rPr>
            </w:pP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Среднемесячная номинальная начисленная заработная плата работников муниципальных учреждений культуры</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рубль</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52 026,2</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49 576,1</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49 960,2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52 751,2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53 021,9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55 969,1</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56 516,1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59 383,2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60 259,9</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Отношение средней заработной платы работников учреждений культуры к среднемесячному доходу от трудовой деятельности</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112,1</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104,0</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100,0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b/>
                <w:bCs/>
                <w:sz w:val="20"/>
                <w:szCs w:val="20"/>
              </w:rPr>
            </w:pPr>
            <w:r w:rsidRPr="003E5490">
              <w:rPr>
                <w:rFonts w:cs="Times New Roman"/>
                <w:b/>
                <w:bCs/>
                <w:sz w:val="20"/>
                <w:szCs w:val="20"/>
              </w:rPr>
              <w:t>14. Торговля и услуги</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6F7CAB">
            <w:pPr>
              <w:pStyle w:val="af"/>
              <w:jc w:val="center"/>
              <w:rPr>
                <w:rFonts w:cs="Times New Roman"/>
                <w:sz w:val="20"/>
                <w:szCs w:val="20"/>
              </w:rPr>
            </w:pP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Обеспеченность населения площадью торговых объектов</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кв.метров на 1000 чел.</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1 643,7</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1 718,5</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1 776,7</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1 804,5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1 807,6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1 835,3</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1 835,3</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1 857,8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1 838,7</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Площадь торговых объектов предприятий розничной торговли (на конец года)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тыс. кв. м</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270,6</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278,6</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284,0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286,6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287,7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289,7</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291,6</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291,8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292,0</w:t>
            </w:r>
          </w:p>
        </w:tc>
      </w:tr>
      <w:tr w:rsidR="003E5490" w:rsidRPr="003E5490" w:rsidTr="003E5490">
        <w:trPr>
          <w:trHeight w:val="163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тыс. кв. м</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51,2</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51,2</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51,2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51,2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51,2</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51,2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51,2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51,2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51,2</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Оборот розничной торговли по крупным и средним организациям (без организаций с численностью работающих менее 15 человек):</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6F7CAB">
            <w:pPr>
              <w:pStyle w:val="af"/>
              <w:jc w:val="center"/>
              <w:rPr>
                <w:rFonts w:cs="Times New Roman"/>
                <w:sz w:val="20"/>
                <w:szCs w:val="20"/>
              </w:rPr>
            </w:pP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3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в ценах соответствующих лет</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млн. рублей</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24 662,8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27 267,6</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29 312,9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30 880,9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30 914,2</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32 596,2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32 698,0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34 407,7</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34 992,1</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индекс физического объема</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103,4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106,7</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101,8</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101,2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101,3</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101,8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101,4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102,9</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индекс-дефлятор цен</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 к предыдущему году</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104,8</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103,6</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105,6</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104,1</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103,7</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104,2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103,9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104,1</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104,0</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b/>
                <w:bCs/>
                <w:sz w:val="20"/>
                <w:szCs w:val="20"/>
              </w:rPr>
            </w:pPr>
            <w:r w:rsidRPr="003E5490">
              <w:rPr>
                <w:rFonts w:cs="Times New Roman"/>
                <w:b/>
                <w:bCs/>
                <w:sz w:val="20"/>
                <w:szCs w:val="20"/>
              </w:rPr>
              <w:t>17. Образование</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6F7CAB">
            <w:pPr>
              <w:pStyle w:val="af"/>
              <w:jc w:val="center"/>
              <w:rPr>
                <w:rFonts w:cs="Times New Roman"/>
                <w:sz w:val="20"/>
                <w:szCs w:val="20"/>
              </w:rPr>
            </w:pP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Дошкольное образование:</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6F7CAB">
            <w:pPr>
              <w:pStyle w:val="af"/>
              <w:jc w:val="center"/>
              <w:rPr>
                <w:rFonts w:cs="Times New Roman"/>
                <w:sz w:val="20"/>
                <w:szCs w:val="20"/>
              </w:rPr>
            </w:pP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Количество дошкольных образовательных муниципальных организаций, реализующих образовательные программы дошкольного образования</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32</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2</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2</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w:t>
            </w:r>
          </w:p>
        </w:tc>
      </w:tr>
      <w:tr w:rsidR="003E5490" w:rsidRPr="003E5490" w:rsidTr="003E5490">
        <w:trPr>
          <w:trHeight w:val="76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Число мест в дошкольных муниципальных образовательных организациях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7 493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7 134</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7 134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7 274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7 274</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7 274</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7 274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7 274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7 274</w:t>
            </w:r>
          </w:p>
        </w:tc>
      </w:tr>
      <w:tr w:rsidR="003E5490" w:rsidRPr="003E5490" w:rsidTr="003E5490">
        <w:trPr>
          <w:trHeight w:val="33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Общее образование:</w:t>
            </w:r>
          </w:p>
        </w:tc>
        <w:tc>
          <w:tcPr>
            <w:tcW w:w="1505" w:type="dxa"/>
            <w:hideMark/>
          </w:tcPr>
          <w:p w:rsidR="003E5490" w:rsidRPr="003E5490" w:rsidRDefault="003E5490" w:rsidP="003E5490">
            <w:pPr>
              <w:pStyle w:val="af"/>
              <w:ind w:left="34"/>
              <w:jc w:val="center"/>
              <w:rPr>
                <w:rFonts w:cs="Times New Roman"/>
                <w:sz w:val="20"/>
                <w:szCs w:val="20"/>
              </w:rPr>
            </w:pPr>
          </w:p>
        </w:tc>
        <w:tc>
          <w:tcPr>
            <w:tcW w:w="1047" w:type="dxa"/>
            <w:noWrap/>
            <w:hideMark/>
          </w:tcPr>
          <w:p w:rsidR="003E5490" w:rsidRPr="003E5490" w:rsidRDefault="003E5490" w:rsidP="006F7CAB">
            <w:pPr>
              <w:pStyle w:val="af"/>
              <w:ind w:left="0"/>
              <w:jc w:val="center"/>
              <w:rPr>
                <w:rFonts w:cs="Times New Roman"/>
                <w:sz w:val="20"/>
                <w:szCs w:val="20"/>
              </w:rPr>
            </w:pPr>
          </w:p>
        </w:tc>
        <w:tc>
          <w:tcPr>
            <w:tcW w:w="1005" w:type="dxa"/>
            <w:noWrap/>
            <w:hideMark/>
          </w:tcPr>
          <w:p w:rsidR="003E5490" w:rsidRPr="003E5490" w:rsidRDefault="003E5490" w:rsidP="006F7CAB">
            <w:pPr>
              <w:pStyle w:val="af"/>
              <w:ind w:left="0"/>
              <w:jc w:val="center"/>
              <w:rPr>
                <w:rFonts w:cs="Times New Roman"/>
                <w:sz w:val="20"/>
                <w:szCs w:val="20"/>
              </w:rPr>
            </w:pPr>
          </w:p>
        </w:tc>
        <w:tc>
          <w:tcPr>
            <w:tcW w:w="1215" w:type="dxa"/>
            <w:noWrap/>
            <w:hideMark/>
          </w:tcPr>
          <w:p w:rsidR="003E5490" w:rsidRPr="003E5490" w:rsidRDefault="003E5490" w:rsidP="006F7CAB">
            <w:pPr>
              <w:pStyle w:val="af"/>
              <w:jc w:val="center"/>
              <w:rPr>
                <w:rFonts w:cs="Times New Roman"/>
                <w:sz w:val="20"/>
                <w:szCs w:val="20"/>
              </w:rPr>
            </w:pP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 </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Количество общеобразовательных муниципальных организаций</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23</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19</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19</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19</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19</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19</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19</w:t>
            </w:r>
          </w:p>
        </w:tc>
      </w:tr>
      <w:tr w:rsidR="003E5490" w:rsidRPr="003E5490" w:rsidTr="003E5490">
        <w:trPr>
          <w:trHeight w:val="54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Число мест в муниципальных общеобразовательных организациях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единица</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19 429</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19 429</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20 384</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20 384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20 384</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20 384</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20 384</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20 384</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20 384</w:t>
            </w:r>
          </w:p>
        </w:tc>
      </w:tr>
      <w:tr w:rsidR="003E5490" w:rsidRPr="003E5490" w:rsidTr="003E5490">
        <w:trPr>
          <w:trHeight w:val="1410"/>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процент</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99,4</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100,0</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100,0</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100,0</w:t>
            </w:r>
          </w:p>
        </w:tc>
      </w:tr>
      <w:tr w:rsidR="003E5490" w:rsidRPr="003E5490" w:rsidTr="003E5490">
        <w:trPr>
          <w:trHeight w:val="975"/>
        </w:trPr>
        <w:tc>
          <w:tcPr>
            <w:tcW w:w="2972" w:type="dxa"/>
            <w:hideMark/>
          </w:tcPr>
          <w:p w:rsidR="003E5490" w:rsidRPr="003E5490" w:rsidRDefault="003E5490" w:rsidP="003E5490">
            <w:pPr>
              <w:pStyle w:val="af"/>
              <w:ind w:left="171"/>
              <w:rPr>
                <w:rFonts w:cs="Times New Roman"/>
                <w:sz w:val="20"/>
                <w:szCs w:val="20"/>
              </w:rPr>
            </w:pPr>
            <w:r w:rsidRPr="003E5490">
              <w:rPr>
                <w:rFonts w:cs="Times New Roman"/>
                <w:sz w:val="20"/>
                <w:szCs w:val="20"/>
              </w:rPr>
              <w:t>Справочно: Общая численность обучающихся в государственных (муниципальных) общеобразовательных организациях</w:t>
            </w:r>
          </w:p>
        </w:tc>
        <w:tc>
          <w:tcPr>
            <w:tcW w:w="1505" w:type="dxa"/>
            <w:hideMark/>
          </w:tcPr>
          <w:p w:rsidR="003E5490" w:rsidRPr="003E5490" w:rsidRDefault="003E5490" w:rsidP="003E5490">
            <w:pPr>
              <w:pStyle w:val="af"/>
              <w:ind w:left="34"/>
              <w:jc w:val="center"/>
              <w:rPr>
                <w:rFonts w:cs="Times New Roman"/>
                <w:sz w:val="20"/>
                <w:szCs w:val="20"/>
              </w:rPr>
            </w:pPr>
            <w:r w:rsidRPr="003E5490">
              <w:rPr>
                <w:rFonts w:cs="Times New Roman"/>
                <w:sz w:val="20"/>
                <w:szCs w:val="20"/>
              </w:rPr>
              <w:t>тыс. человек</w:t>
            </w:r>
          </w:p>
        </w:tc>
        <w:tc>
          <w:tcPr>
            <w:tcW w:w="1047"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16,3</w:t>
            </w:r>
          </w:p>
        </w:tc>
        <w:tc>
          <w:tcPr>
            <w:tcW w:w="1005" w:type="dxa"/>
            <w:noWrap/>
            <w:hideMark/>
          </w:tcPr>
          <w:p w:rsidR="003E5490" w:rsidRPr="003E5490" w:rsidRDefault="003E5490" w:rsidP="006F7CAB">
            <w:pPr>
              <w:pStyle w:val="af"/>
              <w:ind w:left="0"/>
              <w:jc w:val="center"/>
              <w:rPr>
                <w:rFonts w:cs="Times New Roman"/>
                <w:sz w:val="20"/>
                <w:szCs w:val="20"/>
              </w:rPr>
            </w:pPr>
            <w:r w:rsidRPr="003E5490">
              <w:rPr>
                <w:rFonts w:cs="Times New Roman"/>
                <w:sz w:val="20"/>
                <w:szCs w:val="20"/>
              </w:rPr>
              <w:t>16,1</w:t>
            </w:r>
          </w:p>
        </w:tc>
        <w:tc>
          <w:tcPr>
            <w:tcW w:w="1215" w:type="dxa"/>
            <w:noWrap/>
            <w:hideMark/>
          </w:tcPr>
          <w:p w:rsidR="003E5490" w:rsidRPr="003E5490" w:rsidRDefault="003E5490" w:rsidP="006F7CAB">
            <w:pPr>
              <w:pStyle w:val="af"/>
              <w:jc w:val="center"/>
              <w:rPr>
                <w:rFonts w:cs="Times New Roman"/>
                <w:sz w:val="20"/>
                <w:szCs w:val="20"/>
              </w:rPr>
            </w:pPr>
            <w:r w:rsidRPr="003E5490">
              <w:rPr>
                <w:rFonts w:cs="Times New Roman"/>
                <w:sz w:val="20"/>
                <w:szCs w:val="20"/>
              </w:rPr>
              <w:t>16,3</w:t>
            </w:r>
          </w:p>
        </w:tc>
        <w:tc>
          <w:tcPr>
            <w:tcW w:w="1229" w:type="dxa"/>
            <w:noWrap/>
            <w:hideMark/>
          </w:tcPr>
          <w:p w:rsidR="003E5490" w:rsidRPr="003E5490" w:rsidRDefault="003E5490" w:rsidP="003E5490">
            <w:pPr>
              <w:pStyle w:val="af"/>
              <w:rPr>
                <w:rFonts w:cs="Times New Roman"/>
                <w:sz w:val="20"/>
                <w:szCs w:val="20"/>
              </w:rPr>
            </w:pPr>
            <w:r w:rsidRPr="003E5490">
              <w:rPr>
                <w:rFonts w:cs="Times New Roman"/>
                <w:sz w:val="20"/>
                <w:szCs w:val="20"/>
              </w:rPr>
              <w:t>16,5</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16,6</w:t>
            </w:r>
          </w:p>
        </w:tc>
        <w:tc>
          <w:tcPr>
            <w:tcW w:w="1262" w:type="dxa"/>
            <w:noWrap/>
            <w:hideMark/>
          </w:tcPr>
          <w:p w:rsidR="003E5490" w:rsidRPr="003E5490" w:rsidRDefault="003E5490" w:rsidP="003E5490">
            <w:pPr>
              <w:pStyle w:val="af"/>
              <w:rPr>
                <w:rFonts w:cs="Times New Roman"/>
                <w:sz w:val="20"/>
                <w:szCs w:val="20"/>
              </w:rPr>
            </w:pPr>
            <w:r w:rsidRPr="003E5490">
              <w:rPr>
                <w:rFonts w:cs="Times New Roman"/>
                <w:sz w:val="20"/>
                <w:szCs w:val="20"/>
              </w:rPr>
              <w:t>16,6</w:t>
            </w:r>
          </w:p>
        </w:tc>
        <w:tc>
          <w:tcPr>
            <w:tcW w:w="1431" w:type="dxa"/>
            <w:noWrap/>
            <w:hideMark/>
          </w:tcPr>
          <w:p w:rsidR="003E5490" w:rsidRPr="003E5490" w:rsidRDefault="003E5490" w:rsidP="003E5490">
            <w:pPr>
              <w:pStyle w:val="af"/>
              <w:rPr>
                <w:rFonts w:cs="Times New Roman"/>
                <w:sz w:val="20"/>
                <w:szCs w:val="20"/>
              </w:rPr>
            </w:pPr>
            <w:r w:rsidRPr="003E5490">
              <w:rPr>
                <w:rFonts w:cs="Times New Roman"/>
                <w:sz w:val="20"/>
                <w:szCs w:val="20"/>
              </w:rPr>
              <w:t>16,8</w:t>
            </w:r>
          </w:p>
        </w:tc>
        <w:tc>
          <w:tcPr>
            <w:tcW w:w="1418" w:type="dxa"/>
            <w:noWrap/>
            <w:hideMark/>
          </w:tcPr>
          <w:p w:rsidR="003E5490" w:rsidRPr="003E5490" w:rsidRDefault="003E5490" w:rsidP="003E5490">
            <w:pPr>
              <w:pStyle w:val="af"/>
              <w:rPr>
                <w:rFonts w:cs="Times New Roman"/>
                <w:sz w:val="20"/>
                <w:szCs w:val="20"/>
              </w:rPr>
            </w:pPr>
            <w:r w:rsidRPr="003E5490">
              <w:rPr>
                <w:rFonts w:cs="Times New Roman"/>
                <w:sz w:val="20"/>
                <w:szCs w:val="20"/>
              </w:rPr>
              <w:t>16,8</w:t>
            </w:r>
          </w:p>
        </w:tc>
        <w:tc>
          <w:tcPr>
            <w:tcW w:w="1559" w:type="dxa"/>
            <w:noWrap/>
            <w:hideMark/>
          </w:tcPr>
          <w:p w:rsidR="003E5490" w:rsidRPr="003E5490" w:rsidRDefault="003E5490" w:rsidP="003E5490">
            <w:pPr>
              <w:pStyle w:val="af"/>
              <w:rPr>
                <w:rFonts w:cs="Times New Roman"/>
                <w:sz w:val="20"/>
                <w:szCs w:val="20"/>
              </w:rPr>
            </w:pPr>
            <w:r w:rsidRPr="003E5490">
              <w:rPr>
                <w:rFonts w:cs="Times New Roman"/>
                <w:sz w:val="20"/>
                <w:szCs w:val="20"/>
              </w:rPr>
              <w:t>17,0</w:t>
            </w:r>
          </w:p>
        </w:tc>
      </w:tr>
    </w:tbl>
    <w:p w:rsidR="006048BB" w:rsidRDefault="006048BB"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Default="00A26F69" w:rsidP="006048BB">
      <w:pPr>
        <w:pStyle w:val="af"/>
        <w:spacing w:after="0"/>
        <w:ind w:left="0"/>
        <w:rPr>
          <w:rFonts w:cs="Times New Roman"/>
        </w:rPr>
      </w:pPr>
    </w:p>
    <w:p w:rsidR="00A26F69" w:rsidRPr="00910772" w:rsidRDefault="00A26F69" w:rsidP="006048BB">
      <w:pPr>
        <w:pStyle w:val="af"/>
        <w:spacing w:after="0"/>
        <w:ind w:left="0"/>
        <w:rPr>
          <w:rFonts w:cs="Times New Roman"/>
        </w:rPr>
      </w:pPr>
    </w:p>
    <w:tbl>
      <w:tblPr>
        <w:tblStyle w:val="af5"/>
        <w:tblW w:w="16013" w:type="dxa"/>
        <w:tblLook w:val="04A0" w:firstRow="1" w:lastRow="0" w:firstColumn="1" w:lastColumn="0" w:noHBand="0" w:noVBand="1"/>
      </w:tblPr>
      <w:tblGrid>
        <w:gridCol w:w="5930"/>
        <w:gridCol w:w="3421"/>
        <w:gridCol w:w="3260"/>
        <w:gridCol w:w="3402"/>
      </w:tblGrid>
      <w:tr w:rsidR="00A26F69" w:rsidRPr="00910772" w:rsidTr="004969A4">
        <w:trPr>
          <w:trHeight w:val="375"/>
        </w:trPr>
        <w:tc>
          <w:tcPr>
            <w:tcW w:w="16013" w:type="dxa"/>
            <w:gridSpan w:val="4"/>
            <w:tcBorders>
              <w:top w:val="nil"/>
              <w:left w:val="nil"/>
              <w:right w:val="nil"/>
            </w:tcBorders>
            <w:noWrap/>
            <w:hideMark/>
          </w:tcPr>
          <w:p w:rsidR="00A26F69" w:rsidRPr="00910772" w:rsidRDefault="00A26F69" w:rsidP="00A26F69">
            <w:pPr>
              <w:pStyle w:val="af"/>
              <w:rPr>
                <w:rFonts w:cs="Times New Roman"/>
                <w:b/>
                <w:bCs/>
              </w:rPr>
            </w:pPr>
            <w:r w:rsidRPr="00910772">
              <w:rPr>
                <w:rFonts w:cs="Times New Roman"/>
                <w:b/>
                <w:bCs/>
              </w:rPr>
              <w:t>Пояснительная записка к муниципальному прогнозу социально-экономического развития городского округа Электросталь Московской области на 2022-2024 годы</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показателя</w:t>
            </w:r>
          </w:p>
        </w:tc>
        <w:tc>
          <w:tcPr>
            <w:tcW w:w="10083" w:type="dxa"/>
            <w:gridSpan w:val="3"/>
            <w:hideMark/>
          </w:tcPr>
          <w:p w:rsidR="00A26F69" w:rsidRPr="00D02E0D" w:rsidRDefault="00A26F69" w:rsidP="00A26F69">
            <w:pPr>
              <w:pStyle w:val="af"/>
              <w:rPr>
                <w:rFonts w:cs="Times New Roman"/>
                <w:bCs/>
                <w:sz w:val="20"/>
                <w:szCs w:val="20"/>
              </w:rPr>
            </w:pPr>
            <w:r w:rsidRPr="00D02E0D">
              <w:rPr>
                <w:rFonts w:cs="Times New Roman"/>
                <w:bCs/>
                <w:sz w:val="20"/>
                <w:szCs w:val="20"/>
              </w:rPr>
              <w:t>Данные муниципальных образований</w:t>
            </w:r>
          </w:p>
        </w:tc>
      </w:tr>
      <w:tr w:rsidR="004969A4" w:rsidRPr="00D02E0D" w:rsidTr="00A26F69">
        <w:trPr>
          <w:trHeight w:val="390"/>
        </w:trPr>
        <w:tc>
          <w:tcPr>
            <w:tcW w:w="5930" w:type="dxa"/>
            <w:hideMark/>
          </w:tcPr>
          <w:p w:rsidR="004969A4" w:rsidRPr="00D02E0D" w:rsidRDefault="004969A4" w:rsidP="00A26F69">
            <w:pPr>
              <w:pStyle w:val="af"/>
              <w:rPr>
                <w:rFonts w:cs="Times New Roman"/>
                <w:bCs/>
                <w:sz w:val="20"/>
                <w:szCs w:val="20"/>
              </w:rPr>
            </w:pPr>
            <w:r w:rsidRPr="00D02E0D">
              <w:rPr>
                <w:rFonts w:cs="Times New Roman"/>
                <w:bCs/>
                <w:sz w:val="20"/>
                <w:szCs w:val="20"/>
              </w:rPr>
              <w:t>1. Демографические показатели</w:t>
            </w:r>
            <w:bookmarkStart w:id="0" w:name="_GoBack"/>
            <w:bookmarkEnd w:id="0"/>
          </w:p>
        </w:tc>
        <w:tc>
          <w:tcPr>
            <w:tcW w:w="10083" w:type="dxa"/>
            <w:gridSpan w:val="3"/>
            <w:vMerge w:val="restart"/>
            <w:hideMark/>
          </w:tcPr>
          <w:p w:rsidR="004969A4" w:rsidRPr="00D02E0D" w:rsidRDefault="004969A4" w:rsidP="00A26F69">
            <w:pPr>
              <w:pStyle w:val="af"/>
              <w:rPr>
                <w:rFonts w:cs="Times New Roman"/>
                <w:sz w:val="20"/>
                <w:szCs w:val="20"/>
              </w:rPr>
            </w:pPr>
            <w:r w:rsidRPr="00D02E0D">
              <w:rPr>
                <w:rFonts w:cs="Times New Roman"/>
                <w:sz w:val="20"/>
                <w:szCs w:val="20"/>
              </w:rPr>
              <w:t> </w:t>
            </w:r>
          </w:p>
          <w:p w:rsidR="004969A4" w:rsidRPr="00D02E0D" w:rsidRDefault="004969A4" w:rsidP="00A26F69">
            <w:pPr>
              <w:pStyle w:val="af"/>
              <w:rPr>
                <w:rFonts w:cs="Times New Roman"/>
                <w:sz w:val="20"/>
                <w:szCs w:val="20"/>
              </w:rPr>
            </w:pPr>
            <w:r w:rsidRPr="00D02E0D">
              <w:rPr>
                <w:rFonts w:cs="Times New Roman"/>
                <w:sz w:val="20"/>
                <w:szCs w:val="20"/>
              </w:rPr>
              <w:t> </w:t>
            </w:r>
          </w:p>
          <w:p w:rsidR="004969A4" w:rsidRPr="00D02E0D" w:rsidRDefault="004969A4" w:rsidP="00A26F69">
            <w:pPr>
              <w:pStyle w:val="af"/>
              <w:ind w:left="194"/>
              <w:rPr>
                <w:rFonts w:cs="Times New Roman"/>
                <w:sz w:val="20"/>
                <w:szCs w:val="20"/>
              </w:rPr>
            </w:pPr>
            <w:r w:rsidRPr="00D02E0D">
              <w:rPr>
                <w:rFonts w:cs="Times New Roman"/>
                <w:sz w:val="20"/>
                <w:szCs w:val="20"/>
              </w:rPr>
              <w:t xml:space="preserve">Естественная убыль населения наблюдается на территории городского округа Электросталь на протяжении последних 10-15 лет: несмотря на рост продолжительности жизни в целом в стране, смертность населения городского округа ежегодно превышает 2000 человек, в то время как рождаемость сохраняется на уровне от 1300 до 1500 детей в год. Ввиду естественной убыли населения, а также отрицательного миграционного прироста, сложившемся в 2020году численность населения городского округа Электросталь по состоянию на 01.01.2021 уменьшилась </w:t>
            </w:r>
          </w:p>
        </w:tc>
      </w:tr>
      <w:tr w:rsidR="004969A4" w:rsidRPr="00D02E0D" w:rsidTr="00A26F69">
        <w:trPr>
          <w:trHeight w:val="390"/>
        </w:trPr>
        <w:tc>
          <w:tcPr>
            <w:tcW w:w="5930" w:type="dxa"/>
            <w:hideMark/>
          </w:tcPr>
          <w:p w:rsidR="004969A4" w:rsidRPr="00D02E0D" w:rsidRDefault="004969A4" w:rsidP="00A26F69">
            <w:pPr>
              <w:pStyle w:val="af"/>
              <w:rPr>
                <w:rFonts w:cs="Times New Roman"/>
                <w:bCs/>
                <w:sz w:val="20"/>
                <w:szCs w:val="20"/>
              </w:rPr>
            </w:pPr>
            <w:r w:rsidRPr="00D02E0D">
              <w:rPr>
                <w:rFonts w:cs="Times New Roman"/>
                <w:bCs/>
                <w:sz w:val="20"/>
                <w:szCs w:val="20"/>
              </w:rPr>
              <w:t>Численность постоянного населения (на конец года)</w:t>
            </w:r>
          </w:p>
        </w:tc>
        <w:tc>
          <w:tcPr>
            <w:tcW w:w="10083" w:type="dxa"/>
            <w:gridSpan w:val="3"/>
            <w:vMerge/>
            <w:hideMark/>
          </w:tcPr>
          <w:p w:rsidR="004969A4" w:rsidRPr="00D02E0D" w:rsidRDefault="004969A4" w:rsidP="00A26F69">
            <w:pPr>
              <w:pStyle w:val="af"/>
              <w:ind w:left="194"/>
              <w:rPr>
                <w:rFonts w:cs="Times New Roman"/>
                <w:sz w:val="20"/>
                <w:szCs w:val="20"/>
              </w:rPr>
            </w:pPr>
          </w:p>
        </w:tc>
      </w:tr>
      <w:tr w:rsidR="004969A4" w:rsidRPr="00D02E0D" w:rsidTr="00A26F69">
        <w:trPr>
          <w:trHeight w:val="1260"/>
        </w:trPr>
        <w:tc>
          <w:tcPr>
            <w:tcW w:w="5930" w:type="dxa"/>
            <w:hideMark/>
          </w:tcPr>
          <w:p w:rsidR="004969A4" w:rsidRPr="00D02E0D" w:rsidRDefault="004969A4" w:rsidP="00A26F69">
            <w:pPr>
              <w:pStyle w:val="af"/>
              <w:rPr>
                <w:rFonts w:cs="Times New Roman"/>
                <w:sz w:val="20"/>
                <w:szCs w:val="20"/>
              </w:rPr>
            </w:pPr>
            <w:r w:rsidRPr="00D02E0D">
              <w:rPr>
                <w:rFonts w:cs="Times New Roman"/>
                <w:sz w:val="20"/>
                <w:szCs w:val="20"/>
              </w:rPr>
              <w:t>Основные демографические тенденции на территории муниципального образования</w:t>
            </w:r>
          </w:p>
        </w:tc>
        <w:tc>
          <w:tcPr>
            <w:tcW w:w="10083" w:type="dxa"/>
            <w:gridSpan w:val="3"/>
            <w:vMerge/>
            <w:hideMark/>
          </w:tcPr>
          <w:p w:rsidR="004969A4" w:rsidRPr="00D02E0D" w:rsidRDefault="004969A4" w:rsidP="00A26F69">
            <w:pPr>
              <w:pStyle w:val="af"/>
              <w:ind w:left="194"/>
              <w:rPr>
                <w:rFonts w:cs="Times New Roman"/>
                <w:sz w:val="20"/>
                <w:szCs w:val="20"/>
              </w:rPr>
            </w:pP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Рождаемость населения</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409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снижения/роста рождаемости</w:t>
            </w:r>
          </w:p>
        </w:tc>
        <w:tc>
          <w:tcPr>
            <w:tcW w:w="3421" w:type="dxa"/>
            <w:hideMark/>
          </w:tcPr>
          <w:p w:rsidR="00A26F69" w:rsidRDefault="00A26F69" w:rsidP="00A26F69">
            <w:pPr>
              <w:pStyle w:val="af"/>
              <w:ind w:left="194"/>
              <w:rPr>
                <w:rFonts w:cs="Times New Roman"/>
                <w:sz w:val="20"/>
                <w:szCs w:val="20"/>
              </w:rPr>
            </w:pPr>
            <w:r w:rsidRPr="00D02E0D">
              <w:rPr>
                <w:rFonts w:cs="Times New Roman"/>
                <w:sz w:val="20"/>
                <w:szCs w:val="20"/>
              </w:rPr>
              <w:t>Введение дополнительных мер государственной поддержки рождений,  в том числе со стороны Московской области, способствовали повышению коэффициентов рождаемости в 2020 году. Сохранить высокий уровень рождаемости удается благодаря системной работе, направленной на снижение числа прерываний незапланированной беременности (абортов), увеличение количества процедур экстракорпорального оплодотворения, внедрение новых медицинских технологий по организации оказания медицинской помощи в учреждениях родовспоможения, реализации мер поддержки молодых семей из регионального бюджета, ориентированной на повышение рождаемости.</w:t>
            </w:r>
          </w:p>
          <w:p w:rsidR="004969A4" w:rsidRDefault="004969A4" w:rsidP="00A26F69">
            <w:pPr>
              <w:pStyle w:val="af"/>
              <w:ind w:left="194"/>
              <w:rPr>
                <w:rFonts w:cs="Times New Roman"/>
                <w:sz w:val="20"/>
                <w:szCs w:val="20"/>
              </w:rPr>
            </w:pPr>
          </w:p>
          <w:p w:rsidR="004969A4" w:rsidRDefault="004969A4" w:rsidP="00A26F69">
            <w:pPr>
              <w:pStyle w:val="af"/>
              <w:ind w:left="194"/>
              <w:rPr>
                <w:rFonts w:cs="Times New Roman"/>
                <w:sz w:val="20"/>
                <w:szCs w:val="20"/>
              </w:rPr>
            </w:pPr>
          </w:p>
          <w:p w:rsidR="004969A4" w:rsidRDefault="004969A4" w:rsidP="00A26F69">
            <w:pPr>
              <w:pStyle w:val="af"/>
              <w:ind w:left="194"/>
              <w:rPr>
                <w:rFonts w:cs="Times New Roman"/>
                <w:sz w:val="20"/>
                <w:szCs w:val="20"/>
              </w:rPr>
            </w:pPr>
          </w:p>
          <w:p w:rsidR="004969A4" w:rsidRDefault="004969A4" w:rsidP="00A26F69">
            <w:pPr>
              <w:pStyle w:val="af"/>
              <w:ind w:left="194"/>
              <w:rPr>
                <w:rFonts w:cs="Times New Roman"/>
                <w:sz w:val="20"/>
                <w:szCs w:val="20"/>
              </w:rPr>
            </w:pPr>
          </w:p>
          <w:p w:rsidR="004969A4" w:rsidRPr="00D02E0D" w:rsidRDefault="004969A4" w:rsidP="00A26F69">
            <w:pPr>
              <w:pStyle w:val="af"/>
              <w:ind w:left="194"/>
              <w:rPr>
                <w:rFonts w:cs="Times New Roman"/>
                <w:sz w:val="20"/>
                <w:szCs w:val="20"/>
              </w:rPr>
            </w:pPr>
          </w:p>
        </w:tc>
        <w:tc>
          <w:tcPr>
            <w:tcW w:w="3260" w:type="dxa"/>
            <w:hideMark/>
          </w:tcPr>
          <w:p w:rsidR="00A26F69" w:rsidRPr="00D02E0D" w:rsidRDefault="00A26F69" w:rsidP="00A26F69">
            <w:pPr>
              <w:pStyle w:val="af"/>
              <w:ind w:left="34"/>
              <w:rPr>
                <w:rFonts w:cs="Times New Roman"/>
                <w:sz w:val="20"/>
                <w:szCs w:val="20"/>
              </w:rPr>
            </w:pPr>
            <w:r w:rsidRPr="00D02E0D">
              <w:rPr>
                <w:rFonts w:cs="Times New Roman"/>
                <w:sz w:val="20"/>
                <w:szCs w:val="20"/>
              </w:rPr>
              <w:t>В условиях распространения новой коронавирусной инфекции (COVID-2019) – неопределенности влияния вируса на течение беременности и как следствие откладывание планирования беременности, а также нестабильности экономической ситуации, опасений по поводу ухудшения уровня жизни (вероятность наступления новой коронавирусной инфекции (COVID-2019)  к концу 2021 года ожидается снижение уровня рождаемости. За январь – май 2021 года в городском округе Электросталь родилось 463 ребенка, что на 60 детей меньше, чем за аналогичный период 2020 года.</w:t>
            </w:r>
          </w:p>
        </w:tc>
        <w:tc>
          <w:tcPr>
            <w:tcW w:w="3402" w:type="dxa"/>
            <w:hideMark/>
          </w:tcPr>
          <w:p w:rsidR="00A26F69" w:rsidRPr="00D02E0D" w:rsidRDefault="00A26F69" w:rsidP="00A26F69">
            <w:pPr>
              <w:pStyle w:val="af"/>
              <w:ind w:left="194"/>
              <w:rPr>
                <w:rFonts w:cs="Times New Roman"/>
                <w:sz w:val="20"/>
                <w:szCs w:val="20"/>
              </w:rPr>
            </w:pPr>
            <w:r w:rsidRPr="00D02E0D">
              <w:rPr>
                <w:rFonts w:cs="Times New Roman"/>
                <w:sz w:val="20"/>
                <w:szCs w:val="20"/>
              </w:rPr>
              <w:t>В прогнозном периоде 2022-2024 годов ожидается незначительный рост рождаемости, что обусловлено следующими основными причинами: снижение количества женщин фертильного возраста в активном детородном периоде, приостановление проведения процедур экстракорпорального оплодотворения в связи с ограничительными эпидемиологическими мерами, связанные с распространением новой коронавирусной инфекции COVID-2019. Однако, последовательная реализация мероприятий по поддержке материнства и детства, позволит рассчитывать на формирование положительной динамики рождаемости по второму варианту прогноза.</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Смертность населения</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3330"/>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снижения/роста смертности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Увеличение смертности обусловлено циркуляцией коронавирусной инфекции, которая приводит к обострению заболеваний сердечно-сосудистой системы. Новый штамм коронавируса спровоцировал более тяжелое течение заболевания COVID-19</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Сложившаяся эпидемиологическая ситуация скорректировала оценку демографической ситуации. В январе-мае 2021 года наблюдались самые высокие значения смертности населения  в городском округе Электросталь, по сравнению с аналогичным периодом нескольких последних лет. За январь-май 2021 года смертность составила 1054 человека, в 2020 году за аналогичный период умерло 966 человек, в 2019 – 903 человека.</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На протяжении всего прогнозного периода сохраняется высокая смертность. Наращивание мощностей учреждений здравоохранения по борьбе с новой коронавирусной инфекцией (COVID-2019), совершенствование медицинской помощи, и проводимая профилактическая работа в 2021 году будут способствовать ограничению роста новых случаев смертности. Реализация мероприятий по снижению смертности населения, улучшение качества медицинского обслуживания, профилактика заболеваний позволит увеличить ожидаемую продолжительность жизни к 2024 году.</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Миграционный прирост (убыль) населения</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1950"/>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снижения/роста миграционного потока</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Эпидемия COVID-19, особенно негативно повлияла на миграционный прирост. В 2019 и в 2020 году миграционный прирос отрицательный.  Данная ситуация обусловлена последствиями вводимых ограничений по перемещению населения, опасением населения к распространению новой коронавирусной инфекции (COVID-2019).</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Положительная миграция в 2021 году обусловлена созданием новых рабочих мест в связи с открытием на территории городского округа Электросталь центра омниканальной торговли «Вайлдберриз» (первая очередь).</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Большое влияние на рост населения, пребывающего на территорию городского округа может оказать выход на проектную мощность предприятия по выращиванию грибоводческой продукции ООО «Торговый дом «Богородские овощи», также открытие второй и третьей очереди центра омниканальной торговли «Вайлдберриз».</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3. Промышленное производство</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150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4770"/>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промышленного производства по крупным и средним организациям (без организаций с численностью работающих менее 15 человек)</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 ПАО «Машиностроительный завод», ОАО «Металлургический завод «Электросталь»,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Особое влияние на динамику показателя оказывают крупнейшие предприятия городского округа Электросталь ПАО «МСЗ» (объем отгруженной продукции за 2020 год составил 18,13 млрд.руб.),  АО МЗ «Электросталь» (объем отгруженной продукции за 2020 год 13,18 млрд.руб.</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Крупнейшие предприятия городского округа Электросталь оценивают объем  отгруженной за  2021 год  в следующих значениях: ПАО «МСЗ» - 15,4 млрд.руб., АО МЗ «Электросталь»- 14 млрд.руб., ОАО «ЭЗТМ» 2,9 млрд.руб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На прогнозный период 2022-2024 годов планируется умеренный рост объема отгруженной продукции промышленного производства.  Причина умеренного невысокого роста обусловлена тем, что на территории городского округа не планируется ввод в эксплуатацию новых промышленных предприятий. Динамичное развитие действующего промышленного производства обусловлено углублением процессов модернизации,  повышением эффективности использования ресурсов предприятий, увеличением загрузки производственных мощностей. Наибольшим потенциалом обладают предприятия обрабатывающего производства, которые  формируют более 90% объем отгруженной продукции, выпускаемой на территории городского округа Электросталь.</w:t>
            </w:r>
          </w:p>
        </w:tc>
      </w:tr>
      <w:tr w:rsidR="00A26F69" w:rsidRPr="00D02E0D" w:rsidTr="00A26F69">
        <w:trPr>
          <w:trHeight w:val="150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 xml:space="preserve">Объем отгруженных товаров собственного производства, выполненных работ и услуг собственными силами по крупным и средним организациям (без организаций с численностью работающих менее 15 человек) по промышленным видам деятельности: </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"Добыча полезных ископаемых"</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67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промышленного производства в данной отрасли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По данному ОКВЭДу промышленные предприятия отсутствуют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По данному ОКВЭДу промышленные предприятия отсутствуют</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По данному ОКВЭДу промышленные предприятия отсутствуют</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"Обрабатывающие производства"</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286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промышленного производства в данной отрасли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Особое влияние на динамику показателя оказывают крупнейшие предприятия городского округа Электросталь ПАО «МСЗ» (объем отгруженной продукции за 2020 год составил 18,13 млрд.руб.),  АО МЗ «Электросталь» (объем отгруженной продукции за 2020 год 13,18 млрд.руб.)</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Крупнейшие предприятия городского округа Электросталь оценивают объем  отгруженной за  2021 год  в следующих значениях: ПАО «МСЗ» - 15,4 млрд.руб., АО МЗ «Электросталь»- 14 млрд.руб., ОАО «ЭЗТМ» 2,9 млрд.руб. ПАО «МСЗ» в 2021 году снижает объем отгруженной продукции, следователь и общий объем оценивается к снижению.</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На прогнозный период 2022-2024 годов планируется умеренный рост объема отгруженной продукции промышленного производства.  Причина умеренного невысокого роста обусловлена тем, что на территории городского округа не планируется ввод в эксплуатацию новых промышленных предприятий. Крупнейшие предприятия городского округа Электросталь планируют умеренный рост  отгруженной продукции:  ПАО «МСЗ» - в среднем  106%,  АО МЗ «Электросталь»- 104%, ОАО «ЭЗТМ» - 106%.</w:t>
            </w: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p w:rsidR="00A26F69" w:rsidRPr="00D02E0D" w:rsidRDefault="00A26F69" w:rsidP="00A26F69">
            <w:pPr>
              <w:pStyle w:val="af"/>
              <w:rPr>
                <w:rFonts w:cs="Times New Roman"/>
                <w:sz w:val="20"/>
                <w:szCs w:val="20"/>
              </w:rPr>
            </w:pP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"Обеспечение электрической энергией, газом и паром; кондиционирование воздуха"</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3600"/>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промышленного производства в данной отрасли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В отчетном периоде крупными и средними предприятиями по данному виду деятельности отгружено продукции на 18,9 % больше, чем за 2019 год. Причина – увеличение потребителей продукции. Ввод в эксплуатацию многоквартирных жилых домов (общая площадь жилых помещений, введенная в действие  в 2020 году составила 15,81 тыс. кв. м), учреждений образования (общеобразовательная школа на 825 мест, пристройка к зданию школы на 100 мест), ввод в эксплуатацию торгово-офисных зданий (площадь торговых объектов увеличилась в 2020 году на 8 тыс.кв.метров).</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В январе – июне 2021 года крупными и средними предприятиями по данному виду деятельности отгружено продукции на 1 748,8 млн.руб., темп роста по сравнению с аналогичным периодом 2020 года 121,9%. Крупнейшие предприятия городского округа по производству тепловой энергии ООО "Глобус" и АО ВКС показали рост отгруженной продукции в январе-июне 2021 года, следовательно общий объем отгруженной продукции по данному виду деятельности покажет рост в 2021 году (оценочно).</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В прогнозном периоде планируется умеренный рост объема отгруженной продукции по данному виду деятельности. Крупнейшие предприятия городского округа по производству тепловой энергии ООО "Глобус" и АО ВКС прогнозируют рост отгруженной продукции. Причина - ввод в эксплуатацию жилых домов, торгово-офисных центров, а также рост тарифов на выпускаемую продукцию.</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"Водоснабжение; водоотведение, организация сбора и утилизации отходов, деятельность по ликвидации загрязнений"</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3780"/>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промышленного производства в данной отрасли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В отчетном периоде крупными и средними предприятиями по данному виду деятельности отгружено продукции на 7,8 % больше, чем за 2019 год. Причина – увеличение потребителей продукции. Ввод в эксплуатацию многоквартирных жилых домов (общая площадь жилых помещений, введенная в действие  в 2020 году составила 15,81 тыс. кв. м), учреждений образования (общеобразовательная школа на 825 мест, пристройка к зданию школы на 100 мест), ввод в эксплуатацию торгово-офисных зданий (площадь торговых объектов увеличилась в 2020 году на 8 тыс.кв.метров).</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В январе – июне 2021 года крупными и средними предприятиями по данному виду деятельности отгружено продукции на 385,48 млн.руб., снижение по сравнению с аналогичным периодом 2020 года на 5,5%. Крупнейшее предприятие городского округа по  забору, очистке и распределению воды Филиал ГУА МО КСМО показало снижение отгруженной продукции в январе-июне 2021 года, следовательно общий объем отгруженной продукции по данному виду деятельности покажет снижение  в 2021 году (оценочно)..</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В прогнозном периоде планируется умеренный рост объема отгруженной продукции по данному виду деятельности. Крупнейшее предприятие городского округа по забору, очистке и распределению воды Филиал ГУА МО КСМО прогнозирует рост отгруженной продукции. Причина - ввод в эксплуатацию жилых домов, торгово-офисных центров, а также рост тарифов на выпускаемую продукцию.</w:t>
            </w:r>
          </w:p>
        </w:tc>
      </w:tr>
      <w:tr w:rsidR="00A26F69" w:rsidRPr="00D02E0D" w:rsidTr="00A26F69">
        <w:trPr>
          <w:trHeight w:val="177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Предприятия, оказывающие существенное влияние на динамику промышленного производства</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предприятия</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Основной вид производимой продукции</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Планы развития предприятия (модернизация, ввод новых линий производства, заключение соглашений/контрактов, сокращение производства, ликвидация)</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В: добыча полезных ископаемых</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10 Производство пищевых 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"ГЛОБАЛ СНЕК"</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снеки</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4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"Бета Гида"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осуществляет фасовку чая и кофе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11 Производство напитков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13 Производство текстильных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14 Производство одежды</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"ФИРМА Черемушки"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нательного белья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"Отдых"</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Пошив спецодежды для промышленных предприятий</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15 Производство кожи и изделий из кожи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16 Обработка древесины и производство изделий из дерева и пробки, кроме мебели, производство изделий из соломки и материалов для плетения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"Элеон Дом"</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Переработка древесины</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17 Производство бумаги и бумажных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18 Деятельность полиграфическая и копирование носителей информации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"Отдых"</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Прочие виды полиграфической деятельности</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19 Производство кокса и нефтепродуктов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95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20 Производство химических веществ и химических 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ПАО "Машиностроительный завод"</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Крупнейшее системообразующее предприятие городского округа Электросталь ПАО «МСЗ» производит ядерное топливо для атомных электростанций. Предприятие  входит в состав ТК «ТВЭЛ» Госкорпарации «Росатом»</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Реконструкция и модернизация предприятия атомной отрасли ПАО «Машиностроительный завод». Проект подразумевает: развитие ядерного производства; развитие инфраструктуры, инженерных коммуникаций и социальной сферы; выполнение мероприятий по федеральным целевым программам </w:t>
            </w:r>
          </w:p>
        </w:tc>
      </w:tr>
      <w:tr w:rsidR="00A26F69" w:rsidRPr="00D02E0D" w:rsidTr="00A26F69">
        <w:trPr>
          <w:trHeight w:val="126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ОАО "ЭХМЗ им.Н.Д.Зелинского"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Системообразующее предприятие городского округа Электросталь, производит средства индивидуальной и коллективной защиты от оружия массового поражения и химически опасных веществ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21 Производство лекарственных средств и материалов, применяемых в медицинских целях</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22 Производство резиновых и пластмассовых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"Полимер"</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прочих пластмассовых изделий</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23 Производство прочей неметаллической минеральной продукции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"ГлассТехнолоджис"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стеклянные изделия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48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24 Производство металлургическое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"Металлургический завод "Электросталь"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стали в слитках, способен выплавлять более 2000 марок высококачественной стали</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и техническое перевооружение металлургического производства АО «Металлургический завод «Электросталь». Проект подразумевает: приобретение оборудования для изготовления оснастки и инструмента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25 Производство готовых металлических изделий, кроме машин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"Русинокс"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производит нержавеющие трубы</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26 Производство компьютеров, электронных и оптических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27 Производство электрического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"Элемаш Магнит"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производит электрическое оборудование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28 Производство машин и оборудования, не включенных в другие группировки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ОАО "ЭЗТМ"</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машин и оборудования для трубной, горнодобывающей и цементной промышленности</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29 Производство автотранспортных средств, прицепов и полуприцепов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30 Производство прочих транспортных средств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31 Производство мебели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"Дебют"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мебель на металлокаркасе, офисные кресла, стулья, и пр.</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48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ИП Вострухин М.С.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предметы интерьера и мебели, которые имеют большой спрос не только на территории городского округа , но, и в целом по Московской области и Российской Федерации. Сеть магазинов данного предприятия - "Империя Богаччо"</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32 Производство прочих готовых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"Гласс Технолоджис"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полые стеклянные изделия.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26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"МСЗ - Механика"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является дочерним предприятием ПАО "МСЗ", входит в состав ТК "ТВЭЛ" Госкорпарации "Росатом". Производит  нестандартизированное оборудование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33 Ремонт и монтаж машин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Забор, очистка и распределение воды</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D: Обеспечение электрической энергией, газом и паром; кондиционирование воздуха</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"Глобус"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пара и горячей воды (тепловой энергии)</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ВКС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пара и горячей воды (тепловой энергии)</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Е: Водоснабжение; водоотведение, организация сбора и утилизации отходов, деятельность по ликвидации загрязнений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Филиал ГУА МО КСМО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Забор, очистка и распределение воды</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6. Транспорт</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Протяженность автомобильных дорог общего пользования с твердым типом покрытия местного значения</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67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Основные мероприятия по строительству и реконструкции объектов дорожно-транспортной инфраструктуры в отчетном периоде</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Администрацией городского округа Электросталь на постоянной основе ведется работа по принятию в муниципальную собственность безхозяйных дорог. За 2020 год принято в муниципальную собственность 3,1 км.</w:t>
            </w:r>
          </w:p>
        </w:tc>
      </w:tr>
      <w:tr w:rsidR="00A26F69" w:rsidRPr="00D02E0D" w:rsidTr="00A26F69">
        <w:trPr>
          <w:trHeight w:val="94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Планируемые мероприятия по строительству и реконструкции объектов дорожно-транспортной инфраструктуры в прогнозируемом периоде</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В прогнозном периоде строительство и реконструкция объектов дорожно- транспортной инфраструктуры не планируется. Увеличение протяженности дорог с твердым типом покрытия на прогнозный период планируется за счет принятия в муниципальную собственность безхозяйных дорог.</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7. Малое и среднее предпринимательство, включая микропредприятия</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Число малых и средних предприятий, включая микропредприятия (на конец года)</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3480"/>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снижения/роста количества малых, средних и микропредприятий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В 2020 году в результате действия ограничительных мероприятий, введенных  в связи с угрозой распространения новой вирусной инфекции (COVID-2019),  на территории Московской области была приостановлена либо ограничена деятельность большинства предприятий и организаций определенных отраслей, что повлекло к снижению выручки, отказу от приема новых сотрудников, а в ряде случаев закрытие предприятий в наиболее пострадавших отраслях экономики. В результате наблюдается снижение количества субъектов МСП</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Несмотря на меры государственной поддержки, оказываемой субъектам  малого предпринимательства, в 2021 году продолжается тенденция к снижению  численности МСП. Малый бизнес городского округа Электросталь в своем большинстве смог адаптироваться к текущим кризисным условиям из-за пандемии коронавируса, но говорить о полном восстановлении пока преждевременно.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В прогнозном периоде планируется восстановить численность МСП и индивидуальных предпринимателей до уровня 2019 года.  В рамках плана мероприятий по обеспечению устойчивого развития экономики и социальной стабильности в Московской области предусмотрены программы поддержки МСП, направленные на максимальное снижение текущих издержек бизнеса, чтобы высвободить средства на выплату заработной платы, сохранить занятость, предоставляются отсрочки по уплате арендных платежей, организовано предоставление льготных кредитов (6 %).</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8. Инвестиции</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121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1971"/>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инвестиций по крупным и средним предприятиям</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В 2020 году наибольший объем инвестиций освоили предприятия городского округа, осуществляющие свою деятельность в сфере обрабатывающего производства 2 264, 4 млн.руб. (60,1% от общего объема инвестиций по крупным и средним организациям), в том числе ПАО "МСЗ" - годовой объем инвестиций 1 827,5 млн.руб., ОАО "ЭЗТМ" - 176,4 млн.руб., АО "МЗ "Электросталь" - 144,9 млн.руб.Также в 2020 году  было начато строительство центра омниканальной торговли "Вайлберриз", объем инвестиций составил 32,5 млн.руб</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Снижение темпов роста объема инвестиций по крупным и средним организациям городского округа Электросталь в прогнозном периоде 2022-2024 годов обусловлен небольшим ростом объемов инвестиций, которые планируют освоить крупнейшие предприятия: ПАО "МСЗ" - 1 254,9 млн.руб., ОАО "ЭЗТМ" - 180 млн.руб., АО "МЗ "Электросталь" - 104,5 млн.руб., АО "502 ЗРВТИ" - 8,2 млн.руб.  В первом квартале 2021 года объем инвестиций по крупным и средним организациям городского округа объем инвестиций составил 763,46 млн.руб., рост по сравнению с аналогичным периодом 2020 года 229,7%. Причина роста – ООО "Вайлдберриз" предоставили статистическую  по форме П-2 за январь-март 2021 года и показали объем освоенных инвестиций – 500 млн.руб. Объем инвестиций из местных бюджетов за  2021 год составит 3,2 млн.рублей. Планируется реализовать следующие инвестиционные проекты : реконструкция очистных сооружений, в/г Ногинск-5, д.Всеволодово, Электросталь г.о., в том числе ПИР в объеме 500 тыс.руб., Реконструкция биологических очистных сооружений канализации по адресу: городской округ Электросталь, пос.Фрязево (в том числе ПИР) – 817,83 тыс.руб., капитальный ремонт ВЗУ (приобретение, монтаж и ввод в эксплуатацию станции водоочистки  на ВЗУ в с. Иванисово, ул. Центральная усадьба,  д.1) – 1 906,5 тыс.руб.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Инвестиционная деятельность в городском округе прогнозируется к снижению, завершаются модернизации производства на крупных предприятиях города: ПАО "МСЗ", ОАО "ЭЗТМ", АО "МЗ «Электросталь" ,  АО "502 ЗРВТИ". ООО "Вайлдберриз" завершит строительство в 2021 году. Строительство крупных промышленных и торговых объектов не планируется.</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Инвестиционные проекты</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Реализованные инвестиционные проекты в отчетном периоде</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и период реализации</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Объем средств по годам</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Краткое описание проекта</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А: сельское, лесное хозяйство, охота, рыболовство и рыбоводство</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В: добыча полезных ископаемых</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10 Производство пищевых 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"ГЛОБАЛ СНЕК"</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59,87 млн.рублей</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Инвестиции в развитие предприятия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11 Производство напитков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13 Производство текстильных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14 Производство одежды</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15 Производство кожи и изделий из кожи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16 Обработка древесины и производство изделий из дерева и пробки, кроме мебели, производство изделий из соломки и материалов для плетения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17 Производство бумаги и бумажных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18 Деятельность полиграфическая и копирование носителей информации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20 Производство химических веществ и химических 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ПАО "Машиностроительный завод"</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1 877,5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Реконструкция и модернизация предприятия атомной отрасли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ОАО "ЭХМЗ им. Н.Д.Зелинского"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81,67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"Химинвест"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7,5 млн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производственно-складского здания по производству автомобильной химии</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21 Производство лекарственных средств и материалов, применяемых в медицинских целях</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22 Производство резиновых и пластмассовых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"Полимер", 2019 - 2020</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26,8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 пластмассовых изделий</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23 Производство прочей неметаллической минеральной продукции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24 Производство металлургическое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"Металлургический завод "Электросталь"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144,86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"Альянс"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17,4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производственного здания по производству ферросплавов</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25 Производство готовых металлических изделий, кроме машин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"Русинокс"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16,43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"Терминус"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10,33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ООО "Архиглейз"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64,3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Реконструкция здания по производству алюминиевых дверей и окон</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26 Производство компьютеров, электронных и оптических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27 Производство электрического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28 Производство машин и оборудования, не включенных в другие группировки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ОАО "ЭЗТМ"</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176,4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"МСЗ - МЕХАНИКА"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12,64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29 Производство автотранспортных средств, прицепов и полуприцепов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30 Производство прочих транспортных средств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31 Производство мебели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"Дебют"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0,4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ИП "Вострухин"</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24,36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32 Производство прочих готовых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D: Обеспечение электрической энергией, газом и паром; кондиционирование воздуха</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26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Е: Водоснабжение; водоотведение, организация сбора и утилизации отходов, деятельность по ликвидации загрязнений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Реконструкция очистных сооружений, в/г Ногинск-5, д.Всеволодово, Электросталь г.о., в том числе ПИР</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18,5 млн.руб. (в том числе из бюджета городского округа Электросталь – 0,92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r>
      <w:tr w:rsidR="00A26F69" w:rsidRPr="00D02E0D" w:rsidTr="00A26F69">
        <w:trPr>
          <w:trHeight w:val="103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Реконструкция биологических очистных сооружений канализации по адресу: городской округ Электросталь, пос. Фрязево (в том числе ПИР);</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61,3  млн.руб. – средства бюджета Московской области</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и реконструкция объектов очистки сточных вод</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F: Строительство</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G: Торговля оптовая и розничная; ремонт автотранспортных средств и мотоциклов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ТСБ АО "Контракт"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9,8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"Вайлдберриз", 2020 - 2022</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32,5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центра омниканальной оптовой торговли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I: Деятельность гостиниц и предприятий общественного питания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H: Транспортировка и хранение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J: Деятельность в области информации и связи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K: Деятельность финансовая и страховая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L: Деятельность по операциям с недвижимым имуществом</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"Дента Лаб"</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 43,9 млн.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торгового центра с целью дальнейшей сдачи помещений в аренду под торговую деятельность</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M: Деятельность профессиональная, научная и техническая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N: Деятельность административная и сопутствующие дополнительные услуги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O: Государственное управление и обеспечение военной безопасности; социальное обеспечение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"502 ЗРВТИ"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завода по ремонту военно-технического имущества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03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P: Образование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Капитальный ремонт МДОУ "24</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2,5 млн.руб. (в том числе из бюджета городского округа Электросталь - 2,1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r>
      <w:tr w:rsidR="00A26F69" w:rsidRPr="00D02E0D" w:rsidTr="00A26F69">
        <w:trPr>
          <w:trHeight w:val="103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Капитальный ремонт МОУ СОШ №3</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3,86 млн.руб. - средства бюджета городского округа Электросталь</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Мероприятия по проведению капитального ремонта в муниципальных общеобразовательных организациях в Московской области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Q: Деятельность в области здравоохранения и социальных услуг</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R: Деятельность в области культуры, спорта, организации досуга и развлечений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"М.Р.И.С. Групп"</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9,1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футбольного манежа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S: Предоставление прочих видов услуг</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реализовывались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Планируемые к реализации инвестиционные проекты в текущем и прогнозируемом периодах</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и период реализации</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Объем средств по годам</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Краткое описание проекта</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А: сельское, лесное хозяйство, охота, рыболовство и рыбоводство</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В: добыча полезных ископаемых</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10 Производство пищевых 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"ГЛОБАЛ СНЕК"</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- 44,3 млн.руб., 2022 год - 68,86 млн.руб., 2022 год - 79,18 млн.руб., 2023 год - 91,06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Инвестиции в развитие предприятия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11 Производство напитков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13 Производство текстильных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14 Производство одежды</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15 Производство кожи и изделий из кожи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16 Обработка древесины и производство изделий из дерева и пробки, кроме мебели, производство изделий из соломки и материалов для плетения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17 Производство бумаги и бумажных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18 Деятельность полиграфическая и копирование носителей информации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26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20 Производство химических веществ и химических 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ПАО "Машиностроительный завод"</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Плановый объем инвестиций в проект ( 2020-2025 годы) составляет 13,2 млрд. руб.В 2021 году - 1 254,87 млн.руб., 2022 год - 2 978,31 млн.руб., 2023 год - 2 191,61 млн.руб., 2024 год - 1 299,99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Реконструкция и модернизация предприятия атомной отрасли</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ОАО "ЭХМЗ им. Н.Д.Зелинского"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- 15 млн.руб., 2022 год - 10 млн.руб., 2023 год - 10 млн.руб., 2024 год - 10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79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"Химинвест"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Плановый объем инвестиций в проект (2020-2021 годы) составляет 80 млн. рублей.  2021 год - 72,5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производственно-складского здания по производству автомобильной химии</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21 Производство лекарственных средств и материалов, применяемых в медицинских целях</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22 Производство резиновых и пластмассовых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23 Производство прочей неметаллической минеральной продукции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24 Производство металлургическое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"Металлургический завод "Электросталь"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- 104,5 млн.руб., 2022 год - 109,74 млн.руб., 2023 год - 114,96 млн.руб., 2024 год - 120,19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25 Производство готовых металлических изделий, кроме машин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"Русинокс"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- 150 млн.руб., 2022 год - 200 млн.руб., 2023 год - 200 млн.руб., 2024 год - 150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"Терминус"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- 95 млн.руб., 2022 год - 30 млн.руб., 2023 год - 30 млн.руб., 2024 год - 30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26 Производство компьютеров, электронных и оптических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27 Производство электрического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28 Производство машин и оборудования, не включенных в другие группировки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ОАО "ЭЗТМ"</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- 180 млн.руб., 2022 год - 185 млн.руб., 2023 год - 190 млн.руб., 2024 год - 195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79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"МСЗ - МЕХАНИКА"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- 37,89 млн.руб., 2022 год - 37,5 млн.руб., 2023 год - 35 млн.руб., 2024 год - 37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29 Производство автотранспортных средств, прицепов и полуприцепов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30 Производство прочих транспортных средств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31 Производство мебели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"Дебют"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- 2,5 млн.руб., 2022 год - 2 млн.руб., 2023 год - 2 млн.руб., 2024 год - 2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ИП "Вострухин"</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 год - 18 млн.руб., 2023 год - 18 млн.руб., 2024 год - 18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32 Производство прочих готовых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D: Обеспечение электрической энергией, газом и паром; кондиционирование воздуха</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217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Е: Водоснабжение; водоотведение, организация сбора и утилизации отходов, деятельность по ликвидации загрязнений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Реконструкция очистных сооружений, в/г Ногинск-5, д.Всеволодово, Электросталь г.о., в том числе ПИР</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- 10 млн.руб. (в том числе из бюджета городского округа Электросталь - 0,5 млн.руб.), 2022 год - 112,03 (в том числе из бюджета городского округа Электросталь - 5,6 млн.руб.), 2023 год - 95,66 млн.руб. (в том числе из бюджета городского округа Электросталь - 4,8 млн.руб.), 2024 год 353,3 млн.руб. (в том числе из бюджета городского округа Электросталь - 17,7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r>
      <w:tr w:rsidR="00A26F69" w:rsidRPr="00D02E0D" w:rsidTr="00A26F69">
        <w:trPr>
          <w:trHeight w:val="217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Реконструкция биологических очистных сооружений канализации по адресу: городской округ Электросталь, пос. Фрязево (в том числе ПИР);</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- 8 млн.руб. (в том числе из бюджета городского округа Электросталь – 0,82 млн.руб.), 2022 год – 35,83 (в том числе из бюджета городского округа Электросталь – 4,4 млн.руб.), 2023 год – 64,34 млн.руб. (в том числе из бюджета городского округа Электросталь – 6,34 млн.руб.), 2024 год  20,46 млн.руб. (в том числе из бюджета городского округа Электросталь – 2,06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и реконструкция объектов очистки сточных вод</w:t>
            </w:r>
          </w:p>
        </w:tc>
      </w:tr>
      <w:tr w:rsidR="00A26F69" w:rsidRPr="00D02E0D" w:rsidTr="00A26F69">
        <w:trPr>
          <w:trHeight w:val="79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ВЗУ д. Есино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 год – 70 млн.руб. (в том числе из бюджета городского округа Электросталь – 14,35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и реконструкция (модернизация) объектов питьевого водоснабжения</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F: Строительство</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G: Торговля оптовая и розничная; ремонт автотранспортных средств и мотоциклов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ТСБ АО "Контракт"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- 7,5 млн.руб., 2022 год - 8 млн.руб., 2023 год - 8 млн.руб., 2024 год - 8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производства</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"Вайлдберриз"</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- 450 млн.руб., 2022 год - 450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центра омниканальной оптовой торговли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I: Деятельность гостиниц и предприятий общественного питания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H: Транспортировка и хранение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J: Деятельность в области информации и связи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K: Деятельность финансовая и страховая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L: Деятельность по операциям с недвижимым имуществом</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"Дента Лаб"</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-38,1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Строительство торгового центра с целью дальнейшей сдачи помещений в аренду под торговую деятельность</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M: Деятельность профессиональная, научная и техническая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N: Деятельность административная и сопутствующие дополнительные услуги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O: Государственное управление и обеспечение военной безопасности; социальное обеспечение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"502 ЗРВТИ"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- 8,2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Модернизация завода по ремонту военно-технического имущества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03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P: Образование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Капитальный ремонт МДОУ "24</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 год - 33,2 млн.руб. (в том числе из бюджета городского округа Электросталь - 8,4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r>
      <w:tr w:rsidR="00A26F69" w:rsidRPr="00D02E0D" w:rsidTr="00A26F69">
        <w:trPr>
          <w:trHeight w:val="103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Капитальный ремонт МОУ СОШ №3</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2023 год - 53,82 млн.руб. (в том чисе из бюджета городского округа Электросталь - 13,6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Мероприятия по проведению капитального ремонта в муниципальных общеобразовательных организациях в Московской области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Q: Деятельность в области здравоохранения и социальных услуг</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48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R: Деятельность в области культуры, спорта, организации досуга и развлечений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Капитальный ремонт МБУ КЦ "Октябрь"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2023 год - 146,76 млн.руб. ( в том числе из бюджета городского округа Электросталь - 37,13 млн.руб.), 2024 год - 529,91 млн.руб. (в том числе из бюджета городского округа Электросталь - 134,07 млн.руб.)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S: Предоставление прочих видов услуг</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Инвестиционные проекты по данному виду деятельности не планируются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9. Строительство и жилищно-коммунальное хозяйство</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94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Объем работ, выполненных по виду экономической деятельности «Строительство» (Раздел F) по крупным и средним организациям (без организаций с численностью работающих менее 15 человек)</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79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Причины увеличения/снижения объемов работ, выполненных по виду экономической деятельности «Строительство» </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Рост в отченом периоде обусловлен строительством ЦКАД (ООО "СУ910"ЦКАД-4")</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Снижение темпов роста в 2021 году обусловлено завершением строительства ЦКАД.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Крупных строительных проектов на территории городского округа в прогнозном периоде не планируется</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Объем жилищного строительства</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310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жилищного строительства</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Общая площадь жилых помещений в городском округе, введенная в действие  в 2020 году составила 15,81 тыс. кв. метров. Введено в эксплуатацию: - многоквартирный дом площадью 9,18 тыс.кв.м по адресу Ногинское шоссе, 36, кор.4, застройщик – ООО «Специализированный застройщик ЮИТ Северный квартал»; - индивидуальное жилищное строительство площадью 6,63 тыс.кв.м.</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В 2021 году планируется ввод в эксплуатацию МКД по ул.Захарченко д.4 (стр) (застройщик - АО "СЗ "Виктория Девелопмент"), площадью 31,31 тыс.кв.м, а также 7,9 тыс.кв. м индивидуального жилищного строительства.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В 2022 году планируется ввести в эксплуатацию: многоквартирный жилой дом по ул.Трудовая, 8, общей площадью 6,76 тыс. кв.м., а также ИЖС - 8,9 тыс.кв.м.  В 2023 году планируется ввод ИЖС в объеме 7,7 тыс.кв.м Для поддержания динамики ввода жилых объектов в эксплуатацию в городском округе проводится работа по согласованию концепций развития территорий мкр.Северный-2 и территории по ул.Юбилейная. Кроме того, продолжится строительство микрорайона в квартале между Ногинским шоссе и проспектом Ленина.</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12. Труд и заработная плата</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Количество созданных рабочих мест</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предприятия</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Вид деятельности</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Количество созданых рабочих мест</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Количество созданных рабочих мест в отчетном периоде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Дилерский центра "LADA"</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Торговля оптовая и розничная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20 раб.мест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ПБО "Макдональдс"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Общественное питание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20 раб.мест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Магазин торговой марки "Светофор"</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Розничная торговля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17 раб.мест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Магазин торговой марки "Пятерочка"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Розничная торговля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21 раб.мест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Магазин торговой марки "Бристоль"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Розничная торговля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13 раб.мест</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Предприятия общественного питания (кафе, рестораны)</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Общественное питание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43 раб.мест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Предприятия розничной торговли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Розничная торговля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169 раб.мест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Крупные промышленные предприятия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Обрабатывающее производство</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8 раб.мест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Количество созданных рабочих мест в текущем и прогнозном периоде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ООО "Вайлдберриз"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Торговля оптовая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- 500 раб.  мест, 2022 год - 300 раб.мест, 2023 год  - 200 раб.мест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МОУ "Гимназия №9"</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Образование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2021 год - 92 раб.места</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Предприятия розничной торговли и общественного питания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Розничная торговля и общественное питание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100 раб.мест ежегодно</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Промышленные предприятия (малое предпринимательство)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Обрабатывающее производство</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50 раб.мест ежегодно</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Численность официально зарегистрированных безработных</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586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Текущая ситуация и перспективы развития рынка труда</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xml:space="preserve"> В связи с неблагополучной ситуацией, связанной с введением карантина на территории городского округа Электросталь, многие предприятия и организации города вводили режим неполной занятости, в том числе и крупнейшие предприятия, такие как: ОАО "Металлургический завод "Электросталь", ОАО "ЭХМЗ им. Н.Д.Зелинского", АО "ЭНПО «Неорганика" и многие другие. Всего в режиме неполной занятости находились почти 4,5 тыс. работников предприятий и организаций города всех форм собственности, из-за чего, произошло значительное уменьшение количества рабочих мест. Фактором, определяющим умеренную динамику в прогнозном периоде является то, что на территории городского округа Электросталь не планируется строительство больших промышленных производств  и строительство жилья, также не планируется в больших объёмах. Следовательно,  не ожидается большого роста потребителей данного вида продукции.  Эпидемия COVID-19, особенно негативно повлияла на стабильность многих традиционных бизнесов. Малые предприятия, косметические салоны, магазины одежды, туристические агентства, бары и клубы закрылись из-за отсутствия посетителей. Кризис особо негативно сказался на малом и среднем бизнесе связанным с потребительским спросом,  что привело к резкому сокращению рабочего штата компаний, а также индивидуальных предпринимателей и самозанятых. Однако, в  перспективе, в городе планируется строительство путепровода в центральной части по улице Советской (муниципальная автомобильная дорога) через железнодорожный путь ветки "Фрязево-Ногинск" Московской железной дороги. Это разгрузит дорожное движение в городе, и увеличит мобильность рабочей силы внутри города и между г.о. Электросталь и другими населёнными пунктами. По долгосрочному прогнозу в перспективе безработица будет снижаться. Это будет происходить быстрее или медленнее, в зависимости от экономической ситуации в городе и стране. В основном на количество существующих рабочих мест будут влиять градообразующие предприятия города (заводы). Оптимизация численности рабочих мест должна быть завершена. Также планируется  появление новых рабочих мест в городе и окрестностях, в связи с развитием территорий и увеличением населения городского округа, расширением направлений деятельности, созданием коворкинг-центра,  индустриальных парков, привлечением на их территорию новых производств, расширением действующих производств, выпуском новых видов продукции, развитием экспорта. Привлечение инвестиций – основа развития городского округа. Основные механизмы привлечения инвесторов и создания благоприятного инвестиционного климата: открытость власти, отсутствие административных барьеров, подбор и адаптация инвестиционных площадок для реализации инвестиционных проектов, развитие государственно-частного партнёрства. Также на уровень безработицы будет влиять численность экономически активного населения. Предыдущие года показывают, что численность экономически активного населения в городе стабильно возрастает. Существует прирост населения из других областей и республик. В условиях естественной убыли населения одним из основных источников увеличения численности является миграция. </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Фонд начисленной заработной платы крупных и средних предприятий</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2113"/>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темпов роста фонда заработной платы крупных и средних предприятий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Организациями, определяющими динамику фонда заработной платы городского округа являются крупнейшие промышленные предприятия: ПАО "МСЗ, ОАО "ЭЗТМ", АО "МЗ"Электросталь", ОАО "ЭХМЗ", АО "502ЗРВТИ". Доля фонда заработной платы перечисленных  предприятий в общем объеме фонда заработной платы крупных и средних предприятий городского округа составляет 37,6% , в 2020 году ФЗП данных предприятий составил 7 256,8 млн.руб.,темп роста по сравнению с 2019 годом 102,8%. Численность работников в 2020 году уменьшилась по сравнению с 2019 годом на 579 человек. Оптимизация численности произошла на крупных предприятиях города: ПАО «МСЗ» сократил численность на 208 чел .(было в 2019 году 3993 чел., стало в 2020 году 3785 чел.), ОАО "ЭЗТМ" на 33 чел.(было – 1244 чел., стало 1211 чел.), АО "МЗ"Электросталь" на 264 чел. (было 4235 чел., стало 3971 чел.). Ряд других крупных предприятий также сократил среднесписочную численность работников</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В 2021 году темп роста ФЗП крупных и средних предприятий городского округа растет (оценочно)  по сравнению с темпом роста за 2020 год ввиду увеличения  ФЗП крупнейших предприятий: ПАО "МСЗ, ОАО "ЭЗТМ", АО "МЗ"Электросталь", ОАО "ЭХМЗ", АО "502ЗРВТИ" (в 2021 году ФЗП данных предприятий оценочно составит 7 317,94 млн.руб., темп роста 100,8%), а также в связи с открытием на территории городского округа крупного предприятия – Центр омниканальной торговли ООО "Вайлбериз".  Численность работников в 2021 году уменьшилась по сравнению с 2020 годом на 301 человек. В связи с неблагополучной ситуацией, связанной с введением карантина на территории городского округа Электросталь, многие предприятия и организации города вводили режим неполной занятости, в том числе и крупнейшие предприятия, такие как: ОАО «Металлургический завод «Электросталь», ОАО «ЭХМЗ им. Н.Д.Зелинского, АО «ЭНПО «Неорганика» и многие другие. Всего в режиме неполной занятости находились почти 4,5 тыс. работников предприятий и организаций города всех форм собственности, из-за чего, произошло значительное уменьшение количества рабочих мест.  Наряду с этим, в 2021 году Центр омниканальной торговли ООО "Вайлбериз" принял на вновь созданные рабочие места 500 чел., что позволило избежать достаточно большого снижения численности работников крупных и средних предприятий городского округа.</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Наметившаяся тенденция устойчивого роста заработной платы работников крупных предприятий городского округа окажет влияние на умеренный рост фонда заработной платы в 2022-2024 годах в среднем на 4,5 % в год. </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Среднемесячная номинальная начисленная заработная плата работников по крупным и средним организациям</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445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темпов роста среднемесячной заработной платы</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рост средней заработной платы оказывает влияние не только рост ФЗП, но и сокращение численности работников ряда крупных предприятий города. Наиболее высокий уровень среднемесячной заработной платы в 2020 году сложился у предприятий городского округа , относящихся к виду деятельности: "Обрабатывающее производство" - 57 836,6 руб. (темп роста - 103,5%) , "Деятельность финансовая и страховая" -  66 414,9 руб.(темп роста – 106,8%), "Строительство" - 63 728,2 руб.(темп роста – 137,7%), "Деятельность в области информации и связи" - 60 051,5 (темп роста – 106,8%).</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За январь – май  2021 года наиболее высокий уровень среднемесячной заработной платы показывают предприятия городского округа , относящиеся к виду деятельности: "Обрабатывающее производство" - 62 013,8 руб. (темп роста – 102,3%) , "Обеспечение электрической энергией, газом и паром; кондиционирование воздуха" -  62 555,6 (темп роста – 104,5%), "Деятельность финансовая и страховая" -  75 427,1 руб.(темп роста – 112,9%), "Строительство" - 60 838,2 руб.(темп роста – 115,1%), "Деятельность в области информации и связи" - 64 448,6 (темп роста – 100,6%), "Торговля оптовая и розничная; ремонт автотранспортных средств и мотоциклов" - 50 766,7 руб.(темп роста – 113%), "Транспортировка и хранение" - 55 080 руб. (темп роста – 115,5%).</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На плановый период 2022-2024 годов прогнозируется умеренный рост средней заработной платы крупных и средних предприятий городского округа. Причина – сохранение крупнейшими предприятиями объемов производства.</w:t>
            </w:r>
          </w:p>
        </w:tc>
      </w:tr>
      <w:tr w:rsidR="00A26F69" w:rsidRPr="00D02E0D" w:rsidTr="00A26F69">
        <w:trPr>
          <w:trHeight w:val="150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Перечень крупных и средних предприятий, с высоким уровнем средней заработной платы, оказывающих значительное влияние на средний уровень заработной платы по муниципальному образованию (существующие, созданные, ликвидированные, с указанием наименования)</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предприятия</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Уровень зп</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Краткое описание (сфера деятельности / основные виды выпускаемой продукции)</w:t>
            </w:r>
          </w:p>
        </w:tc>
      </w:tr>
      <w:tr w:rsidR="00A26F69" w:rsidRPr="00D02E0D" w:rsidTr="00A26F69">
        <w:trPr>
          <w:trHeight w:val="150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А: сельское, лесное хозяйство, охота, рыболовство и рыбоводство</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Нет крупных и средних предприятий, с высоким уровнем заработной платы, оказывающих значительное влияние на средний уровень заработной платы по муниципальному образованию</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Нет крупных и средних предприятий, с высоким уровнем заработной платы, оказывающих значительное влияние на средний уровень заработной платы по муниципальному образованию</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Нет крупных и средних предприятий, с высоким уровнем заработной платы, оказывающих значительное влияние на средний уровень заработной платы по муниципальному образованию</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10 Производство пищевых 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"ГЛОБАЛ СНЕК"</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50 372,8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снеки</w:t>
            </w:r>
          </w:p>
        </w:tc>
      </w:tr>
      <w:tr w:rsidR="00A26F69" w:rsidRPr="00D02E0D" w:rsidTr="00A26F69">
        <w:trPr>
          <w:trHeight w:val="34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"Бета Гида"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30 397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осуществляет фасовку чая и кофе</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11 Производство напитков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13 Производство текстильных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14 Производство одежды</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"ФИРМА Черемушки"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30 898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нательного белья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15 Производство кожи и изделий из кожи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16 Обработка древесины и производство изделий из дерева и пробки, кроме мебели, производство изделий из соломки и материалов для плетения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"Элеон Дом"</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39 189,3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Переработка древесины</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17 Производство бумаги и бумажных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18 Деятельность полиграфическая и копирование носителей информации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5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20 Производство химических веществ и химических продуктов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ПАО "Машиностроительный завод"</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81300руб.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Крупнейшее системообразующее предприятие городского округа Электросталь ПАО "МСЗ" производит ядерное топливо для атомных электростанций. Предприятие  входит в состав ТК "ТВЭЛ" Госкорпарации «Росатом»</w:t>
            </w:r>
          </w:p>
        </w:tc>
      </w:tr>
      <w:tr w:rsidR="00A26F69" w:rsidRPr="00D02E0D" w:rsidTr="00A26F69">
        <w:trPr>
          <w:trHeight w:val="14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ОАО "ЭХМЗ им.Н.Д.Зелинского"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32841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Системообразующее предприятие городского округа Электросталь, производит средства индивидуальной и коллективной защиты от оружия массового поражения и химически опасных веществ  </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21 Производство лекарственных средств и материалов, применяемых в медицинских целях</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22 Производство резиновых и пластмассовых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"Полимер"</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41 200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вид деятельности: производство прочих пластмассовых изделий</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23 Производство прочей неметаллической минеральной продукции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"ГлассТехнолоджис"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28 000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стеклянные изделия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8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24 Производство металлургическое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"Металлургический завод "Электросталь"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55 971,3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Вид деятельности - производство стали в слитках, способен выплавлять более 2000 марок высококачественной стали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25 Производство готовых металлических изделий, кроме машин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"Русинокс"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45 736,43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производит нержавеющие трубы</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26 Производство компьютеров, электронных и оптических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27 Производство электрического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"Элемаш Магнит"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80 000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производит электрическое оборудование</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28 Производство машин и оборудования, не включенных в другие группировки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ОАО "ЭЗТМ"</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36 803,5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машин и оборудования для трубной, горнодобывающей и цементной промышленности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29 Производство автотранспортных средств, прицепов и полуприцепов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30 Производство прочих транспортных средств и оборудования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городского округа предприятий по данному виду деятельности нет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31 Производство мебели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"Дебют"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25 767,7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мебель на металлокаркасе, офисные кресла, стулья, и пр.</w:t>
            </w:r>
          </w:p>
        </w:tc>
      </w:tr>
      <w:tr w:rsidR="00A26F69" w:rsidRPr="00D02E0D" w:rsidTr="00A26F69">
        <w:trPr>
          <w:trHeight w:val="178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ИП Вострухин М.С.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21 520,7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предметы интерьера и мебели, ккоторые имеют большой спрос не только на территории городского округа , но и вцелом по Московской области и Российской Федерации. Сеть магазинов данного предприятия - "Империя Богаччо"</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32 Производство прочих готовых изделий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"Гласс Технолоджис"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28 000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изготавливает полые стеклянные изделия.</w:t>
            </w:r>
          </w:p>
        </w:tc>
      </w:tr>
      <w:tr w:rsidR="00A26F69" w:rsidRPr="00D02E0D" w:rsidTr="00A26F69">
        <w:trPr>
          <w:trHeight w:val="136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"МСЗ - Механика"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67 538,8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является дочерним предприятием ПАО "МСЗ", входит в состав ТК "ТВЭЛ" Госкорпарации "Росатом". Производит  нестандартизированное оборудование</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D: Обеспечение электрической энергией, газом и паром; кондиционирование воздуха</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"Глобус"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48 000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пара и горячей воды (тепловой энергии)</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ВКС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30 000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Производство пара и горячей воды (тепловой энергии)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Е: Водоснабжение; водоотведение, организация сбора и утилизации отходов, деятельность по ликвидации загрязнений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Филиал ГУА МО КСМО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35 000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Забор, очистка и распределение воды</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F: Строительство</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"СЗ "Викторя Девелопмент"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90 000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Застройщик ряда многоквартирных жилых домов</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"ЮИТ Московский регион"</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100 000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Застройщик крупного объекта (жилой дом)</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G: Торговля оптовая и розничная; ремонт автотранспортных средств и мотоциклов</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Транспортно-складская база ОАО "КОНТРАКТ"</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44 426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Оптовая торговля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"Гиперглобус"</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30 000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Торговля, общественное питание</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I: Деятельность гостиниц и предприятий общественного питания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Гостиница "Элемаш"</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29 002,1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Деятельность гостиниц и прочих мест для временного проживания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H: Транспортировка и хранение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"Вайлбериз"</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50 000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Центр омниканальной торговли (склады)</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J: Деятельность в области информации и связи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"Металлургический завод "Электросталь"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41086,4</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Издание газет в печатном виде</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K: Деятельность финансовая и страховая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Отделения ПАО Сбербанк</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50 000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Осуществление банковских операций</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L: Деятельность по операциям с недвижимым имуществом</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Управляющие компании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57 300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Аренда и управление собственным или арендованным недвижимым имуществом</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126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M: Деятельность профессиональная, научная и техническая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"ЭНПО" "Неорганика"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30 788,8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занимается научными исследованиями и разработками в области естественных и технических наук, а также производит химическую продукцию.</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N: Деятельность административная и сопутствующие дополнительные услуги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ЗАО "Отдых"</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37 340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Деятельность по чистке и уборке жилых зданий и нежилых помещений прочая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795"/>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O: Государственное управление и обеспечение военной безопасности; социальное обеспечение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АО "502 ЗРВТИ"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63 958,8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находится под ведомством Минобороны РФ, вид деятельности: ремонт вооружения и военной техники.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P: Образование</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Муниципальные учреждения общего и дошкольного образования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51 712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Образование</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Q: Деятельность в области здравоохранения и социальных услуг</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ГБУЗ "ЭЦГБ"</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55 000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Деятельность в области здравоохранения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ФМБА России ЦМСЧ №21</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55 000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Деятельность в области здравоохранения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Раздел R: Деятельность в области культуры, спорта, организации досуга и развлечений</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МБУ КЦ "Октябрь"</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43 200 руб.</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Деятельность учреждений культуры и искусства</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Фонд начисленной заработной платы малых предприятий (включая микропредприятия)</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1546"/>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темпов роста фонда заработной платы малых предприятий (включая микропредприятия)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В 2020 году фонд заработной платы по малым предприятиям вырос по сравнению с 2019 годом на 9 процентов. Рост по сравнению обусловлен  развитием и модернизацией производственных процессов на предприятиях малого бизнеса. Компания ООО "Амега" реализовала инвестиционный проект по строительству нового цеха по производству стеклопакетов. На производстве установлено инновационное роботизированное оборудование. Это позволило создать новые высокотехнологичные рабочие места. Средняя заработная плата в компании составила 55 тыс.рублей.  ООО "Бета Гида"  построила новый комплекс по производству кофе, были введены новые рабочие места с более высокой заработной платой.</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Несмотря на ограничительные мероприятий, введенные в связи с угрозой распространения новой вирусной инфекции, и сокращением численности субъектов малого предпринимательства, фонд заработной платы работников оценочно вырастет на 3,8%. Средняя заработная плата у ряда предприятий малого бизнеса продолжает тенденцию к росту. В условиях пандемии медицинские центры  ООО "Медина" и ООО "Контракт" повышают среднюю заработную плату работникам (в 2021 году она составила 80 тысяч рублей). Продолжается модернизация ряда предприятий малого бизнеса. Вследствие чего фонд заработной платы растет, несмотря на снижение численности работников.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На территории г.о. Электросталь действует программа финансовой поддержки предпринимателей, что позволяет создавать новые рабочие места. Также в городе создаются индустриальные и техно-парки, что способствует привлечению высококвалифицированных специалистов. Данные факторы оказывают влияние на темпы роста фонда заработной платы  малых предприятий.</w:t>
            </w:r>
          </w:p>
        </w:tc>
      </w:tr>
      <w:tr w:rsidR="00A26F69" w:rsidRPr="00D02E0D" w:rsidTr="00A26F69">
        <w:trPr>
          <w:trHeight w:val="561"/>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Среднемесячная заработная плата работников малых предприятий (включая микропредприятия)</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3150"/>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темпов роста среднемесячной заработной платы</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Рост средней заработной платы в 2020 году обусловлен ростом производительности на предприятиях малого бизнеса. ООО "ЭЛКО" развивали индустриальный парк, повышают заработную плату работникам. ООО "Картоненко" осуществляли модернизацию производства, устанавливали станки с ЧПУ, для работы с которыми требуются более квалифицированные работники.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 Средняя заработная плата у ряда предприятий малого бизнеса продолжает тенденцию к росту. В условиях пандемии медицинские центры  ООО "Медина" и ООО "Контракт" повышают среднюю заработную плату работникам (в 2021 году она составила 80 тысяч рублей). Продолжается модернизация ряда предприятий малого бизнеса. Для работы на высокотехнологичном оборудовании требуются более квалифицированные работники с высокой заработной платой.</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В связи с проводимыми мероприятиями по модернизации производств и замене оборудования старого образца на современное высокотехнологичное оборудование у предприятий увеличивается выпуск продукции, появляется необходимость в повышение квалификации кадров, что влечет повышении производительности труда. Все эти факторы влияют на увеличение темпов роста среднемесячной заработной платы в прогнозном периоде на территории г.о. Электросталь</w:t>
            </w:r>
          </w:p>
        </w:tc>
      </w:tr>
      <w:tr w:rsidR="00A26F69" w:rsidRPr="00D02E0D" w:rsidTr="00A26F69">
        <w:trPr>
          <w:trHeight w:val="1209"/>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Среднемесячная заработная плата отдельных категорий работников социальной сферы и науки и отношение средней заработной платы отдельных категорий работников социальной сферы и науки к среднемесячному доходу от трудовой деятельности по Московской области:</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Образование</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121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Мероприятия по обеспечению соответствия уровней средних заработных плат работников сферы образования (по категориям) установленным нормативам в соответствии с указами Президента РФ </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Создание центра "IT-куб" позволил увеличить кружковую деятельность технической и естественнонаучной направленности. Увеличилась численность детей, занимающихся в кружках, что позволило увеличить средства бюджета, направленных на заработную плату. Количество детей в возрасте от 5 до 7 лет, посещающих кружки проекта «Наука в Подмосковье» достигло 1622 человек,  или 47% от общего числа детей от 5 до 7 лет, охваченных дополнительным образованием.</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Культура</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298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Мероприятия по обеспечению соответствия уровней средних заработных плат работников культуры установленным нормативам в соответствии с указами Президента РФ</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В городском округе Электросталь уровень средней заработной платы в сфере культуры планируется выполнить по итогу 2021 года в соответствии с установленными показателями согласно указам Президента РФ. Данный показатель достигается за счет средств, выделенных из бюджета городского округа и средств от приносящей доход деятельности. По состоянию на 01.08.2021 данный показатель выполняется на 91,38% из-за снижения выплат стимулирующего характера: 1. за счет бюджета в связи с дефицитом денежных средств; 2. за счет внебюджетных средств в связи со снижением платных услуг в летний период и действующими в первом полугодии ограничениями, связанными с мерами по предотвращению распространения новой коронавирусной инфекции. Повышение значения средней заработной платы планируется за счет следующих мероприятий: 1. увеличение выплат стимулирующего характера за счет средств от приносящей доход деятельности 2. направление средств экономии по результатам закупок в течение года на выплаты стимулирующего характера. В 2020 году произошло снижение значения средней заработной платы по сравнению с 2019 годом из-за ограничений деятельности учреждений в 2020 году, связанных с мерами по предотвращению распространения новой коронавирусной инфекции, вследствие которых произошло снижение доходов от платных услуг учреждений и уменьшение бюджетных ассигнований.</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14. Торговля и услуги</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675"/>
        </w:trPr>
        <w:tc>
          <w:tcPr>
            <w:tcW w:w="5930" w:type="dxa"/>
            <w:vMerge w:val="restart"/>
            <w:hideMark/>
          </w:tcPr>
          <w:p w:rsidR="00A26F69" w:rsidRPr="00D02E0D" w:rsidRDefault="00A26F69" w:rsidP="00A26F69">
            <w:pPr>
              <w:pStyle w:val="af"/>
              <w:rPr>
                <w:rFonts w:cs="Times New Roman"/>
                <w:bCs/>
                <w:sz w:val="20"/>
                <w:szCs w:val="20"/>
              </w:rPr>
            </w:pPr>
            <w:r w:rsidRPr="00D02E0D">
              <w:rPr>
                <w:rFonts w:cs="Times New Roman"/>
                <w:bCs/>
                <w:sz w:val="20"/>
                <w:szCs w:val="20"/>
              </w:rPr>
              <w:t>Крупнейшие предприятия оптовой торговли</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предприятия</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Основной вид деятельности (краткое описание)</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Планы развития предприятия</w:t>
            </w:r>
          </w:p>
        </w:tc>
      </w:tr>
      <w:tr w:rsidR="00A26F69" w:rsidRPr="00D02E0D" w:rsidTr="00A26F69">
        <w:trPr>
          <w:trHeight w:val="33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Склад, ул. Северная, д. 5б , 100 кв. м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оптовая торговля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Замена оборудования  складских помещений</w:t>
            </w:r>
          </w:p>
        </w:tc>
      </w:tr>
      <w:tr w:rsidR="00A26F69" w:rsidRPr="00D02E0D" w:rsidTr="00A26F69">
        <w:trPr>
          <w:trHeight w:val="33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Склад. Ул. Горького, д. 6, пом 17 , 30 кв.м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оптовая торговля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Ремонт помещения (50 кв.м.) </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База, пер. Строительный , д. 9А, 51 т кв.м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оптовая торговля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Планируется проведение косметического ремонта 2 т.кв.метров</w:t>
            </w:r>
          </w:p>
        </w:tc>
      </w:tr>
      <w:tr w:rsidR="00A26F69" w:rsidRPr="00D02E0D" w:rsidTr="00A26F69">
        <w:trPr>
          <w:trHeight w:val="33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675"/>
        </w:trPr>
        <w:tc>
          <w:tcPr>
            <w:tcW w:w="5930" w:type="dxa"/>
            <w:vMerge w:val="restart"/>
            <w:hideMark/>
          </w:tcPr>
          <w:p w:rsidR="00A26F69" w:rsidRPr="00D02E0D" w:rsidRDefault="00A26F69" w:rsidP="00A26F69">
            <w:pPr>
              <w:pStyle w:val="af"/>
              <w:rPr>
                <w:rFonts w:cs="Times New Roman"/>
                <w:bCs/>
                <w:sz w:val="20"/>
                <w:szCs w:val="20"/>
              </w:rPr>
            </w:pPr>
            <w:r w:rsidRPr="00D02E0D">
              <w:rPr>
                <w:rFonts w:cs="Times New Roman"/>
                <w:bCs/>
                <w:sz w:val="20"/>
                <w:szCs w:val="20"/>
              </w:rPr>
              <w:t>Крупнейшие предприятия розничной торговли</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предприятия</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Основной вид деятельности (краткое описание)</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Планы развития предприятия</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Торговый центр "Меридиан"( 11525 кв.м) , ул. Ялагина, 4;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Торговля, общественное питание, фитнесс</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Ремонт входной круппы</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Торгово-развлекательный центр "Эльград"( 59885 кв.м.) , пр. Ленина, д. 0/10;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торговля, общественное питание, кинотеатр, фитнесс</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Замена асфальтового покрытия на парковке</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 Культурно-развлекательный центр "Парк Плаза"( 15500 кв.м.), ул. Радио;</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торговля, общественное питание, кинотеатр</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Ремонт ступеней входной группы, ремонт туалетов</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 Гипермаркеты "Глобус" - 32200 кв.м.     и "МаксиДом" -16260 кв.м.     с.п. Степановское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торговля, общественное питание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Реконструкция оборудования в торговом центре "Максидом"</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Торговый центр"Центральный"(4760 кв.м.)ул. Карла Маркса;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торговля , общественное питание</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Ремонт складских и бытовых помещений, работы по кровле</w:t>
            </w:r>
          </w:p>
        </w:tc>
      </w:tr>
      <w:tr w:rsidR="00A26F69" w:rsidRPr="00D02E0D" w:rsidTr="00A26F69">
        <w:trPr>
          <w:trHeight w:val="675"/>
        </w:trPr>
        <w:tc>
          <w:tcPr>
            <w:tcW w:w="5930" w:type="dxa"/>
            <w:vMerge w:val="restart"/>
            <w:hideMark/>
          </w:tcPr>
          <w:p w:rsidR="00A26F69" w:rsidRPr="00D02E0D" w:rsidRDefault="00A26F69" w:rsidP="00A26F69">
            <w:pPr>
              <w:pStyle w:val="af"/>
              <w:rPr>
                <w:rFonts w:cs="Times New Roman"/>
                <w:bCs/>
                <w:sz w:val="20"/>
                <w:szCs w:val="20"/>
              </w:rPr>
            </w:pPr>
            <w:r w:rsidRPr="00D02E0D">
              <w:rPr>
                <w:rFonts w:cs="Times New Roman"/>
                <w:bCs/>
                <w:sz w:val="20"/>
                <w:szCs w:val="20"/>
              </w:rPr>
              <w:t>Крупнейшие предприятия общественного питания</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предприятия</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Основной вид деятельности (краткое описание)</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Планы развития предприятия</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"Кафе "Восточное", г.Электросталь, ул. Карла маркса, д. 47а</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общественное питание (кафе),70  посадочных мест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Развитие не планируется</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ООО "Гиперглобус", г.о. Электросталь, п. Случайное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общесственное питание (кафе) , 490 посадочных мест</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Развитие не планируется</w:t>
            </w:r>
          </w:p>
        </w:tc>
      </w:tr>
      <w:tr w:rsidR="00A26F69" w:rsidRPr="00D02E0D" w:rsidTr="00A26F69">
        <w:trPr>
          <w:trHeight w:val="795"/>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Кафе "Пекин" , ИП Ильин Иван Александрович, г.Павловский Посад, ул.Кузьмина , д.35, кв.158</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кафе "Фабрика обедов", 70 посадочных мест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Развитие не планируется</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г.Электросталь, ул. Красная д. 9-ф</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общеситвенное питание кафе "Корона", 80 посадочных мест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Развитие не планируется</w:t>
            </w:r>
          </w:p>
        </w:tc>
      </w:tr>
      <w:tr w:rsidR="00A26F69" w:rsidRPr="00D02E0D" w:rsidTr="00A26F69">
        <w:trPr>
          <w:trHeight w:val="570"/>
        </w:trPr>
        <w:tc>
          <w:tcPr>
            <w:tcW w:w="5930" w:type="dxa"/>
            <w:vMerge/>
            <w:hideMark/>
          </w:tcPr>
          <w:p w:rsidR="00A26F69" w:rsidRPr="00D02E0D" w:rsidRDefault="00A26F69" w:rsidP="00A26F69">
            <w:pPr>
              <w:pStyle w:val="af"/>
              <w:rPr>
                <w:rFonts w:cs="Times New Roman"/>
                <w:bCs/>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ООО "ДАС" , г. Электростпль, ул. Карла Маркса, д. 34</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кафе "Тройка", 80 посадочных мест</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Развитие не планируется</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Площадь торговых объектов</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172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площади торговых объектов предприятий розничной торговли</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xml:space="preserve">В 2020 году введено общей площади торговых объектов 8 тыс.кв.метров, в том числе: 3 магазина "Светофор", дилерский центр "Лада",  более 2000 кв.метров торговых площадей в магазине "Маяк" по ул. Тевосяна, ООО "Авангард Консалтинг"  - торгово-офисный центр, ул. Комсомольская, д. 1,площадью 1100 кв.м. и др. В 2021 году введено общей площади торговых объектов: 3,8 тыс.кв.м., в том числе: два магазина «Пятерочка», магазины-«Пивокуров», «Щедрая лавка», «Бакалея», «Планета Сантехники», «Вольт» и др. До конца 2021 года планируется ввести в действие еще 1,6 тыс.кв. м торговых площадей. Всего за 2021 год 5,4 тыс.кв.метров. Будут  введены ООО "Азбука жилья", торгово-офисное здание, ул. Карла Маркса, магазин  по ул. Победы, комплекс зданий торгового комплекса, д. Есино,  торговое здание по ул. Карла Маркса.  </w:t>
            </w:r>
          </w:p>
        </w:tc>
      </w:tr>
      <w:tr w:rsidR="00A26F69" w:rsidRPr="00D02E0D" w:rsidTr="00A26F69">
        <w:trPr>
          <w:trHeight w:val="103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площади объектов оптовой торговли</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xml:space="preserve">Территория городского округа Электросталь имеет ограниченную территорию застройки. Объекты оптовой торговли  размещены на территории складов и продовольственных баз крупных торговых организаций. Свободные территории и площади для строительства и размещения новых объектов отсутствуют. На присоединенных в 2018 году территориях с.п.Степановское объекты оптовой торговли отсутствуют, размещение новых не планируется  в связи с отсутствием  инвесторов и свободных земельных участков. </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Оборот розничной торговли</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Отчет</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Оценка</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Прогноз</w:t>
            </w:r>
          </w:p>
        </w:tc>
      </w:tr>
      <w:tr w:rsidR="00A26F69" w:rsidRPr="00D02E0D" w:rsidTr="00A26F69">
        <w:trPr>
          <w:trHeight w:val="3660"/>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Причины увеличения/снижения оборота розничной торговли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Несмотря на негативные факторы, связанные с распространением коронавирусной инфекции в городском округе Электросталь в отчетном 2020 году наблюдается рост оборота розничной торговли. Причина увеличения заключена в росте площадей торговых объектов, в 2020 году были введены в эксплуатацию объекты, строительство которых было начато до пандемии: торгово-офисное здание на у.Карла Маркса 19, магазин "Пятерочка" на ул.Захарченко и др. Также на рост оборота розничной торговли значительное влияние оказал рост цен на товары первой необходимости.</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В 2021 году рост оборота розничной торговли обусловлен увеличением торговых площадей объектов, интенсивным развитием системы доставки товаров на дом. Доставку товаров на дом осуществляют: Гипермаркет "Глобус", магазины торговых  сетей "Перекресток", "Пятерочка" и пр. В 2021 году планируются к открытию торговые центры на ул.Журавлева, на ул.Спортивная, на ул. Карла Маркса и др. В городском округе интенсивно развивается ярмарочная торговля, в 2021 году введена дополнительная площадка для проведения ярмарок. </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В прогнозном периоде планируется умеренный рост оборота розничной торговли. Причина - увеличение торговых площадей и рост покупательской способности жителей города в силу прогнозируемого роста средней заработной платы работников. Предпринимаемые меры государственной поддержки малоимущих граждан также повлияют на рост товарооборота.</w:t>
            </w:r>
          </w:p>
        </w:tc>
      </w:tr>
      <w:tr w:rsidR="00A26F69" w:rsidRPr="00D02E0D" w:rsidTr="00A26F69">
        <w:trPr>
          <w:trHeight w:val="675"/>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Планируемые к открытию в прогнозном периоде объекты торговли</w:t>
            </w:r>
          </w:p>
        </w:tc>
        <w:tc>
          <w:tcPr>
            <w:tcW w:w="3421" w:type="dxa"/>
            <w:hideMark/>
          </w:tcPr>
          <w:p w:rsidR="00A26F69" w:rsidRPr="00D02E0D" w:rsidRDefault="00A26F69" w:rsidP="00A26F69">
            <w:pPr>
              <w:pStyle w:val="af"/>
              <w:rPr>
                <w:rFonts w:cs="Times New Roman"/>
                <w:bCs/>
                <w:sz w:val="20"/>
                <w:szCs w:val="20"/>
              </w:rPr>
            </w:pPr>
            <w:r w:rsidRPr="00D02E0D">
              <w:rPr>
                <w:rFonts w:cs="Times New Roman"/>
                <w:bCs/>
                <w:sz w:val="20"/>
                <w:szCs w:val="20"/>
              </w:rPr>
              <w:t>Наименование предприятия</w:t>
            </w:r>
          </w:p>
        </w:tc>
        <w:tc>
          <w:tcPr>
            <w:tcW w:w="3260" w:type="dxa"/>
            <w:hideMark/>
          </w:tcPr>
          <w:p w:rsidR="00A26F69" w:rsidRPr="00D02E0D" w:rsidRDefault="00A26F69" w:rsidP="00A26F69">
            <w:pPr>
              <w:pStyle w:val="af"/>
              <w:rPr>
                <w:rFonts w:cs="Times New Roman"/>
                <w:bCs/>
                <w:sz w:val="20"/>
                <w:szCs w:val="20"/>
              </w:rPr>
            </w:pPr>
            <w:r w:rsidRPr="00D02E0D">
              <w:rPr>
                <w:rFonts w:cs="Times New Roman"/>
                <w:bCs/>
                <w:sz w:val="20"/>
                <w:szCs w:val="20"/>
              </w:rPr>
              <w:t>Год ввода в эксплуатацию</w:t>
            </w:r>
          </w:p>
        </w:tc>
        <w:tc>
          <w:tcPr>
            <w:tcW w:w="3402" w:type="dxa"/>
            <w:hideMark/>
          </w:tcPr>
          <w:p w:rsidR="00A26F69" w:rsidRPr="00D02E0D" w:rsidRDefault="00A26F69" w:rsidP="00A26F69">
            <w:pPr>
              <w:pStyle w:val="af"/>
              <w:rPr>
                <w:rFonts w:cs="Times New Roman"/>
                <w:bCs/>
                <w:sz w:val="20"/>
                <w:szCs w:val="20"/>
              </w:rPr>
            </w:pPr>
            <w:r w:rsidRPr="00D02E0D">
              <w:rPr>
                <w:rFonts w:cs="Times New Roman"/>
                <w:bCs/>
                <w:sz w:val="20"/>
                <w:szCs w:val="20"/>
              </w:rPr>
              <w:t>Краткое описание (с указанием площади)</w:t>
            </w:r>
          </w:p>
        </w:tc>
      </w:tr>
      <w:tr w:rsidR="00A26F69" w:rsidRPr="00D02E0D" w:rsidTr="00A26F69">
        <w:trPr>
          <w:trHeight w:val="126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Объекты розничной торговли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Торговый объект , ул. Спортивная, бывшая лыжная база, 1200</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Торгово-офисное здание , в котором расположены офисные помещения и аппартаменты, игровые зоны для детей, предприятия общественного питания и торговли</w:t>
            </w:r>
          </w:p>
        </w:tc>
      </w:tr>
      <w:tr w:rsidR="00A26F69" w:rsidRPr="00D02E0D" w:rsidTr="00A26F69">
        <w:trPr>
          <w:trHeight w:val="103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ул. Захарченко, торговые объекты на 1 этаже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Торгово-офисное  здание , в котором расположены офисные помещения,  предприятия общественного питания и торговли</w:t>
            </w:r>
          </w:p>
        </w:tc>
      </w:tr>
      <w:tr w:rsidR="00A26F69" w:rsidRPr="00D02E0D" w:rsidTr="00A26F69">
        <w:trPr>
          <w:trHeight w:val="795"/>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Уул. Захарченко,800 кв.м., магазин</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Торговое здание , в котором расположены помещения и аппартаменты,  предприятия общественного питания и торговли</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Торговое здание </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Торговое здание для продажи строительных материалов</w:t>
            </w:r>
          </w:p>
        </w:tc>
      </w:tr>
      <w:tr w:rsidR="00A26F69" w:rsidRPr="00D02E0D" w:rsidTr="00A26F69">
        <w:trPr>
          <w:trHeight w:val="33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Объекты оптовой торговли</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не планируется</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не планируется</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570"/>
        </w:trPr>
        <w:tc>
          <w:tcPr>
            <w:tcW w:w="5930" w:type="dxa"/>
            <w:vMerge w:val="restart"/>
            <w:hideMark/>
          </w:tcPr>
          <w:p w:rsidR="00A26F69" w:rsidRPr="00D02E0D" w:rsidRDefault="00A26F69" w:rsidP="00A26F69">
            <w:pPr>
              <w:pStyle w:val="af"/>
              <w:rPr>
                <w:rFonts w:cs="Times New Roman"/>
                <w:sz w:val="20"/>
                <w:szCs w:val="20"/>
              </w:rPr>
            </w:pPr>
            <w:r w:rsidRPr="00D02E0D">
              <w:rPr>
                <w:rFonts w:cs="Times New Roman"/>
                <w:sz w:val="20"/>
                <w:szCs w:val="20"/>
              </w:rPr>
              <w:t>Объекты общественного питания</w:t>
            </w: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 xml:space="preserve">Кафе </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общественного питания плоощадью около 200 метров</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Кафе</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общественного питания плоощадью более 200 метров</w:t>
            </w:r>
          </w:p>
        </w:tc>
      </w:tr>
      <w:tr w:rsidR="00A26F69" w:rsidRPr="00D02E0D" w:rsidTr="00A26F69">
        <w:trPr>
          <w:trHeight w:val="57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Лаунж бар</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2022</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Предприятие общественного питания, 65 посадочных мест</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30"/>
        </w:trPr>
        <w:tc>
          <w:tcPr>
            <w:tcW w:w="5930" w:type="dxa"/>
            <w:vMerge/>
            <w:hideMark/>
          </w:tcPr>
          <w:p w:rsidR="00A26F69" w:rsidRPr="00D02E0D" w:rsidRDefault="00A26F69" w:rsidP="00A26F69">
            <w:pPr>
              <w:pStyle w:val="af"/>
              <w:rPr>
                <w:rFonts w:cs="Times New Roman"/>
                <w:sz w:val="20"/>
                <w:szCs w:val="20"/>
              </w:rPr>
            </w:pPr>
          </w:p>
        </w:tc>
        <w:tc>
          <w:tcPr>
            <w:tcW w:w="3421"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260"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c>
          <w:tcPr>
            <w:tcW w:w="3402" w:type="dxa"/>
            <w:hideMark/>
          </w:tcPr>
          <w:p w:rsidR="00A26F69" w:rsidRPr="00D02E0D" w:rsidRDefault="00A26F69" w:rsidP="00A26F69">
            <w:pPr>
              <w:pStyle w:val="af"/>
              <w:rPr>
                <w:rFonts w:cs="Times New Roman"/>
                <w:sz w:val="20"/>
                <w:szCs w:val="20"/>
              </w:rPr>
            </w:pPr>
            <w:r w:rsidRPr="00D02E0D">
              <w:rPr>
                <w:rFonts w:cs="Times New Roman"/>
                <w:sz w:val="20"/>
                <w:szCs w:val="20"/>
              </w:rPr>
              <w:t>-</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17. Образование</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Дошкольное образование</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148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Общая характеристика развития сети учреждений дошкольного образования</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В 2020 году произошла очередная реорганизация путем объединения ДОУ №1 и №55 в ДОУ №1 и ДОУ №22 присоединили к общеобразовательному учреждению "СОШ №13 с УИОП". Количество мест для детей дошкольного возраста не изменилось. В 2021 году с 1 сентября планируется создать образовательные комплексы путем присоединения дошкольных учреждений к общеобразовательным учреждениям. В городе будут функционировать только 2 дошкольных учреждения, но количество мест в дошкольных группах не уменьшится. В 2022 году планируется построить ноый сад на 140 мест за счет инвестора, что еще увеличит места в дошкольных отделениях образовательных комплексов.</w:t>
            </w:r>
          </w:p>
        </w:tc>
      </w:tr>
      <w:tr w:rsidR="00A26F69" w:rsidRPr="00D02E0D" w:rsidTr="00A26F69">
        <w:trPr>
          <w:trHeight w:val="67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Планируемые ко вводу в эксплуатацию в прогнозном периоде объекты учреждений дошкольного образования</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В 2022 году планируется построить новый сад на 140 мест за счет инвестора.</w:t>
            </w:r>
          </w:p>
        </w:tc>
      </w:tr>
      <w:tr w:rsidR="00A26F69" w:rsidRPr="00D02E0D" w:rsidTr="00A26F69">
        <w:trPr>
          <w:trHeight w:val="103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Характеристика обеспеченности населения местами в дошкольных образовательных организациях в отчетном, текущем и прогнозном периодах</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Все дети города обеспечены местами в дошкольные учреждения на 100%. Очередь ликвидирована. На 100% удовлетворен спрос родителей на услугу дошкольного образования для детей в возрасте 1,5 - 7 лет – очереди в детский сад в городе нет. В 2020 году особое внимание было направлено на создание дополнительных мест для детей раннего возраста и впервые в 2020 году в ДОУ города осуществлялся прием детей с одного года и 103 ребенка в возрасте 1 года были приняты в ясли.</w:t>
            </w:r>
          </w:p>
        </w:tc>
      </w:tr>
      <w:tr w:rsidR="00A26F69" w:rsidRPr="00D02E0D" w:rsidTr="00A26F69">
        <w:trPr>
          <w:trHeight w:val="390"/>
        </w:trPr>
        <w:tc>
          <w:tcPr>
            <w:tcW w:w="5930" w:type="dxa"/>
            <w:hideMark/>
          </w:tcPr>
          <w:p w:rsidR="00A26F69" w:rsidRPr="00D02E0D" w:rsidRDefault="00A26F69" w:rsidP="00A26F69">
            <w:pPr>
              <w:pStyle w:val="af"/>
              <w:rPr>
                <w:rFonts w:cs="Times New Roman"/>
                <w:bCs/>
                <w:sz w:val="20"/>
                <w:szCs w:val="20"/>
              </w:rPr>
            </w:pPr>
            <w:r w:rsidRPr="00D02E0D">
              <w:rPr>
                <w:rFonts w:cs="Times New Roman"/>
                <w:bCs/>
                <w:sz w:val="20"/>
                <w:szCs w:val="20"/>
              </w:rPr>
              <w:t>Общее образование</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w:t>
            </w:r>
          </w:p>
        </w:tc>
      </w:tr>
      <w:tr w:rsidR="00A26F69" w:rsidRPr="00D02E0D" w:rsidTr="00A26F69">
        <w:trPr>
          <w:trHeight w:val="148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Общая характеристика развития сети учреждений общего образования</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В 2020 году в системе общего образования 23 общеобразовательных организации, в том числе одна коррекционная школа-интернат №1. Все учащиеся школ обучаются в одну смену. В 2020 году проведена реорганизация: МДОУ  №22 присоединилось к общеобразовательному учреждению МОУ "СОШ №13 с УИОП"", при этом сохранили дошкольные места в полном объеме. в 2021 году с сентября планируется создать 15 общеобразовательных комплексов путем присоединения к школам другие школы и ближайшие по месту расположения дошкольные учреждения. Таким образом, с сентября общее образование будет представлено  19 учреждениями, в которых будут функционировать дошкольные отделения."</w:t>
            </w:r>
          </w:p>
        </w:tc>
      </w:tr>
      <w:tr w:rsidR="00A26F69" w:rsidRPr="00D02E0D" w:rsidTr="00A26F69">
        <w:trPr>
          <w:trHeight w:val="795"/>
        </w:trPr>
        <w:tc>
          <w:tcPr>
            <w:tcW w:w="5930" w:type="dxa"/>
            <w:hideMark/>
          </w:tcPr>
          <w:p w:rsidR="00A26F69" w:rsidRPr="00D02E0D" w:rsidRDefault="00A26F69" w:rsidP="00A26F69">
            <w:pPr>
              <w:pStyle w:val="af"/>
              <w:rPr>
                <w:rFonts w:cs="Times New Roman"/>
                <w:sz w:val="20"/>
                <w:szCs w:val="20"/>
              </w:rPr>
            </w:pPr>
            <w:r w:rsidRPr="00D02E0D">
              <w:rPr>
                <w:rFonts w:cs="Times New Roman"/>
                <w:sz w:val="20"/>
                <w:szCs w:val="20"/>
              </w:rPr>
              <w:t>Планируемые ко вводу в эксплуатацию в прогнозном периоде объекты учреждений общего образования</w:t>
            </w:r>
          </w:p>
        </w:tc>
        <w:tc>
          <w:tcPr>
            <w:tcW w:w="10083" w:type="dxa"/>
            <w:gridSpan w:val="3"/>
            <w:hideMark/>
          </w:tcPr>
          <w:p w:rsidR="00A26F69" w:rsidRPr="00D02E0D" w:rsidRDefault="00A26F69" w:rsidP="00A26F69">
            <w:pPr>
              <w:pStyle w:val="af"/>
              <w:rPr>
                <w:rFonts w:cs="Times New Roman"/>
                <w:sz w:val="20"/>
                <w:szCs w:val="20"/>
              </w:rPr>
            </w:pPr>
            <w:r w:rsidRPr="00D02E0D">
              <w:rPr>
                <w:rFonts w:cs="Times New Roman"/>
                <w:sz w:val="20"/>
                <w:szCs w:val="20"/>
              </w:rPr>
              <w:t xml:space="preserve">В конце 2020 года закончилось строительство нового здания на 825 мест МОУ "Гимназия №9" и с 1 сентября введена пристройка на 100 мест к зданию МОУ "СОШ №22 с УИОП". А также начнется проектирование нового здания МБОУ "Фрязевская школа №41 им. Б.А. Воробьева" на 275 мест. </w:t>
            </w:r>
          </w:p>
        </w:tc>
      </w:tr>
    </w:tbl>
    <w:p w:rsidR="00A26F69" w:rsidRDefault="00A26F69" w:rsidP="006048BB">
      <w:pPr>
        <w:pStyle w:val="af"/>
        <w:spacing w:after="0"/>
        <w:ind w:left="0"/>
        <w:rPr>
          <w:rFonts w:cs="Times New Roman"/>
        </w:rPr>
      </w:pPr>
    </w:p>
    <w:p w:rsidR="0034201E" w:rsidRDefault="0034201E" w:rsidP="006048BB">
      <w:pPr>
        <w:pStyle w:val="af"/>
        <w:spacing w:after="0"/>
        <w:ind w:left="0"/>
        <w:rPr>
          <w:rFonts w:cs="Times New Roman"/>
        </w:rPr>
      </w:pPr>
    </w:p>
    <w:p w:rsidR="0034201E" w:rsidRDefault="0034201E" w:rsidP="006048BB">
      <w:pPr>
        <w:pStyle w:val="af"/>
        <w:spacing w:after="0"/>
        <w:ind w:left="0"/>
        <w:rPr>
          <w:rFonts w:cs="Times New Roman"/>
        </w:rPr>
      </w:pPr>
    </w:p>
    <w:sectPr w:rsidR="0034201E" w:rsidSect="00A26F69">
      <w:pgSz w:w="16838" w:h="11906" w:orient="landscape"/>
      <w:pgMar w:top="284" w:right="1134" w:bottom="426"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F45" w:rsidRDefault="00546F45" w:rsidP="00D546F7">
      <w:r>
        <w:separator/>
      </w:r>
    </w:p>
  </w:endnote>
  <w:endnote w:type="continuationSeparator" w:id="0">
    <w:p w:rsidR="00546F45" w:rsidRDefault="00546F45"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F45" w:rsidRDefault="00546F45" w:rsidP="00D546F7">
      <w:r>
        <w:separator/>
      </w:r>
    </w:p>
  </w:footnote>
  <w:footnote w:type="continuationSeparator" w:id="0">
    <w:p w:rsidR="00546F45" w:rsidRDefault="00546F45" w:rsidP="00D54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6706B80E"/>
    <w:lvl w:ilvl="0" w:tplc="9C60986E">
      <w:start w:val="1"/>
      <w:numFmt w:val="decimal"/>
      <w:lvlText w:val="%1."/>
      <w:lvlJc w:val="left"/>
      <w:pPr>
        <w:ind w:left="1320" w:hanging="780"/>
      </w:pPr>
      <w:rPr>
        <w:rFonts w:ascii="Times New Roman" w:eastAsia="Times New Roman" w:hAnsi="Times New Roman" w:cs="Times New Roman"/>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2"/>
    <w:rsid w:val="000306DA"/>
    <w:rsid w:val="00030FBA"/>
    <w:rsid w:val="00061549"/>
    <w:rsid w:val="00061DF3"/>
    <w:rsid w:val="00062431"/>
    <w:rsid w:val="000A3C7B"/>
    <w:rsid w:val="000A690C"/>
    <w:rsid w:val="000B6BB8"/>
    <w:rsid w:val="000D2078"/>
    <w:rsid w:val="000F1450"/>
    <w:rsid w:val="00113AAA"/>
    <w:rsid w:val="00120DF6"/>
    <w:rsid w:val="00124351"/>
    <w:rsid w:val="00136420"/>
    <w:rsid w:val="00173915"/>
    <w:rsid w:val="00177DD0"/>
    <w:rsid w:val="001A0CFF"/>
    <w:rsid w:val="001B57D7"/>
    <w:rsid w:val="001C1308"/>
    <w:rsid w:val="001C5AD2"/>
    <w:rsid w:val="001D7001"/>
    <w:rsid w:val="001E4D5D"/>
    <w:rsid w:val="001E6D8E"/>
    <w:rsid w:val="00207170"/>
    <w:rsid w:val="002200D0"/>
    <w:rsid w:val="00225058"/>
    <w:rsid w:val="00235A39"/>
    <w:rsid w:val="0024163F"/>
    <w:rsid w:val="002948BE"/>
    <w:rsid w:val="002B4746"/>
    <w:rsid w:val="002D4479"/>
    <w:rsid w:val="002D7C2C"/>
    <w:rsid w:val="002F0EBB"/>
    <w:rsid w:val="002F5655"/>
    <w:rsid w:val="003165E4"/>
    <w:rsid w:val="003411CE"/>
    <w:rsid w:val="0034201E"/>
    <w:rsid w:val="003532F8"/>
    <w:rsid w:val="00382198"/>
    <w:rsid w:val="00392F1A"/>
    <w:rsid w:val="003A0776"/>
    <w:rsid w:val="003B48BE"/>
    <w:rsid w:val="003B7096"/>
    <w:rsid w:val="003E5490"/>
    <w:rsid w:val="00400D86"/>
    <w:rsid w:val="004141B9"/>
    <w:rsid w:val="004325A0"/>
    <w:rsid w:val="004843B9"/>
    <w:rsid w:val="004969A4"/>
    <w:rsid w:val="004C387B"/>
    <w:rsid w:val="004D37E6"/>
    <w:rsid w:val="004E12D9"/>
    <w:rsid w:val="00503F06"/>
    <w:rsid w:val="0051118A"/>
    <w:rsid w:val="00513D38"/>
    <w:rsid w:val="005248DD"/>
    <w:rsid w:val="0053125A"/>
    <w:rsid w:val="00532B35"/>
    <w:rsid w:val="00546F45"/>
    <w:rsid w:val="00551653"/>
    <w:rsid w:val="005523DD"/>
    <w:rsid w:val="00563433"/>
    <w:rsid w:val="005A234D"/>
    <w:rsid w:val="005C3A01"/>
    <w:rsid w:val="005C453A"/>
    <w:rsid w:val="00600070"/>
    <w:rsid w:val="00602F10"/>
    <w:rsid w:val="006048BB"/>
    <w:rsid w:val="006066B9"/>
    <w:rsid w:val="00614C61"/>
    <w:rsid w:val="00624E9B"/>
    <w:rsid w:val="0064274B"/>
    <w:rsid w:val="00652B2C"/>
    <w:rsid w:val="0067038C"/>
    <w:rsid w:val="006948BD"/>
    <w:rsid w:val="00695D3C"/>
    <w:rsid w:val="006A2C39"/>
    <w:rsid w:val="006A369B"/>
    <w:rsid w:val="006E12B5"/>
    <w:rsid w:val="006F5859"/>
    <w:rsid w:val="006F7CAB"/>
    <w:rsid w:val="00707B78"/>
    <w:rsid w:val="00721C90"/>
    <w:rsid w:val="00764646"/>
    <w:rsid w:val="00796A52"/>
    <w:rsid w:val="007C0D02"/>
    <w:rsid w:val="007D5C3A"/>
    <w:rsid w:val="007D794A"/>
    <w:rsid w:val="007E163C"/>
    <w:rsid w:val="008012F6"/>
    <w:rsid w:val="0081326C"/>
    <w:rsid w:val="00824A63"/>
    <w:rsid w:val="00840BB6"/>
    <w:rsid w:val="00856BE0"/>
    <w:rsid w:val="00875CBC"/>
    <w:rsid w:val="00885137"/>
    <w:rsid w:val="00887339"/>
    <w:rsid w:val="008C5F3B"/>
    <w:rsid w:val="008F3227"/>
    <w:rsid w:val="00910772"/>
    <w:rsid w:val="00932605"/>
    <w:rsid w:val="00932F06"/>
    <w:rsid w:val="00962B99"/>
    <w:rsid w:val="009746AA"/>
    <w:rsid w:val="00983A94"/>
    <w:rsid w:val="0099566B"/>
    <w:rsid w:val="009A3F83"/>
    <w:rsid w:val="009A471B"/>
    <w:rsid w:val="009D1770"/>
    <w:rsid w:val="00A10057"/>
    <w:rsid w:val="00A26F69"/>
    <w:rsid w:val="00A37F90"/>
    <w:rsid w:val="00A5608E"/>
    <w:rsid w:val="00A57020"/>
    <w:rsid w:val="00A73E81"/>
    <w:rsid w:val="00A979ED"/>
    <w:rsid w:val="00AB7A17"/>
    <w:rsid w:val="00AC2AD8"/>
    <w:rsid w:val="00AE2A94"/>
    <w:rsid w:val="00B06948"/>
    <w:rsid w:val="00B06CA5"/>
    <w:rsid w:val="00B3085C"/>
    <w:rsid w:val="00B31EDC"/>
    <w:rsid w:val="00B35581"/>
    <w:rsid w:val="00B3794C"/>
    <w:rsid w:val="00B45810"/>
    <w:rsid w:val="00B45E55"/>
    <w:rsid w:val="00B647D3"/>
    <w:rsid w:val="00BA7709"/>
    <w:rsid w:val="00BD0F35"/>
    <w:rsid w:val="00BF757B"/>
    <w:rsid w:val="00C06251"/>
    <w:rsid w:val="00C22149"/>
    <w:rsid w:val="00C341BD"/>
    <w:rsid w:val="00C4501A"/>
    <w:rsid w:val="00C57610"/>
    <w:rsid w:val="00C73E9C"/>
    <w:rsid w:val="00C87F9B"/>
    <w:rsid w:val="00CA2128"/>
    <w:rsid w:val="00CC0350"/>
    <w:rsid w:val="00CC47F5"/>
    <w:rsid w:val="00CC58B2"/>
    <w:rsid w:val="00CD3E4F"/>
    <w:rsid w:val="00CF361A"/>
    <w:rsid w:val="00CF7112"/>
    <w:rsid w:val="00D02E0D"/>
    <w:rsid w:val="00D24BF3"/>
    <w:rsid w:val="00D36AB5"/>
    <w:rsid w:val="00D37CEF"/>
    <w:rsid w:val="00D546F7"/>
    <w:rsid w:val="00D70E8F"/>
    <w:rsid w:val="00D77E3D"/>
    <w:rsid w:val="00D9295E"/>
    <w:rsid w:val="00D93DF9"/>
    <w:rsid w:val="00DA3CB8"/>
    <w:rsid w:val="00DB4655"/>
    <w:rsid w:val="00DC292A"/>
    <w:rsid w:val="00DD2ED7"/>
    <w:rsid w:val="00E04256"/>
    <w:rsid w:val="00E159AD"/>
    <w:rsid w:val="00E15C26"/>
    <w:rsid w:val="00E2247C"/>
    <w:rsid w:val="00E42BF2"/>
    <w:rsid w:val="00E43CA2"/>
    <w:rsid w:val="00E502E8"/>
    <w:rsid w:val="00E67667"/>
    <w:rsid w:val="00E76300"/>
    <w:rsid w:val="00E80A7D"/>
    <w:rsid w:val="00EA6405"/>
    <w:rsid w:val="00EC13A5"/>
    <w:rsid w:val="00EC2B78"/>
    <w:rsid w:val="00ED38B8"/>
    <w:rsid w:val="00EF5D60"/>
    <w:rsid w:val="00F01393"/>
    <w:rsid w:val="00F148CE"/>
    <w:rsid w:val="00F31591"/>
    <w:rsid w:val="00F50721"/>
    <w:rsid w:val="00F52112"/>
    <w:rsid w:val="00F606D7"/>
    <w:rsid w:val="00F660E4"/>
    <w:rsid w:val="00F94FF5"/>
    <w:rsid w:val="00FA098C"/>
    <w:rsid w:val="00FB10AF"/>
    <w:rsid w:val="00FB7053"/>
    <w:rsid w:val="00FE4282"/>
    <w:rsid w:val="00FF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53CDA-D2BF-4C60-A539-A479D35A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uiPriority w:val="1"/>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unhideWhenUsed/>
    <w:rsid w:val="001E6D8E"/>
    <w:pPr>
      <w:spacing w:after="120"/>
      <w:ind w:left="283"/>
    </w:pPr>
  </w:style>
  <w:style w:type="character" w:customStyle="1" w:styleId="af0">
    <w:name w:val="Основной текст с отступом Знак"/>
    <w:basedOn w:val="a0"/>
    <w:link w:val="af"/>
    <w:uiPriority w:val="99"/>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numbering" w:customStyle="1" w:styleId="1">
    <w:name w:val="Нет списка1"/>
    <w:next w:val="a2"/>
    <w:uiPriority w:val="99"/>
    <w:semiHidden/>
    <w:unhideWhenUsed/>
    <w:rsid w:val="006048BB"/>
  </w:style>
  <w:style w:type="table" w:styleId="af5">
    <w:name w:val="Table Grid"/>
    <w:basedOn w:val="a1"/>
    <w:uiPriority w:val="39"/>
    <w:rsid w:val="00604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8">
    <w:name w:val="xl78"/>
    <w:basedOn w:val="a"/>
    <w:rsid w:val="003E549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79">
    <w:name w:val="xl79"/>
    <w:basedOn w:val="a"/>
    <w:rsid w:val="003E549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b/>
      <w:bCs/>
      <w:sz w:val="18"/>
      <w:szCs w:val="18"/>
    </w:rPr>
  </w:style>
  <w:style w:type="paragraph" w:customStyle="1" w:styleId="xl80">
    <w:name w:val="xl80"/>
    <w:basedOn w:val="a"/>
    <w:rsid w:val="003E549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81">
    <w:name w:val="xl81"/>
    <w:basedOn w:val="a"/>
    <w:rsid w:val="003E5490"/>
    <w:pPr>
      <w:spacing w:before="100" w:beforeAutospacing="1" w:after="100" w:afterAutospacing="1"/>
      <w:textAlignment w:val="center"/>
    </w:pPr>
    <w:rPr>
      <w:rFonts w:ascii="Tahoma" w:hAnsi="Tahoma" w:cs="Tahoma"/>
      <w:sz w:val="18"/>
      <w:szCs w:val="18"/>
    </w:rPr>
  </w:style>
  <w:style w:type="paragraph" w:customStyle="1" w:styleId="xl82">
    <w:name w:val="xl82"/>
    <w:basedOn w:val="a"/>
    <w:rsid w:val="003E5490"/>
    <w:pPr>
      <w:spacing w:before="100" w:beforeAutospacing="1" w:after="100" w:afterAutospacing="1"/>
      <w:textAlignment w:val="top"/>
    </w:pPr>
    <w:rPr>
      <w:rFonts w:ascii="Tahoma" w:hAnsi="Tahoma" w:cs="Tahoma"/>
      <w:sz w:val="28"/>
      <w:szCs w:val="28"/>
    </w:rPr>
  </w:style>
  <w:style w:type="paragraph" w:customStyle="1" w:styleId="xl83">
    <w:name w:val="xl83"/>
    <w:basedOn w:val="a"/>
    <w:rsid w:val="003E5490"/>
    <w:pPr>
      <w:spacing w:before="100" w:beforeAutospacing="1" w:after="100" w:afterAutospacing="1"/>
      <w:textAlignment w:val="top"/>
    </w:pPr>
    <w:rPr>
      <w:rFonts w:ascii="Tahom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329066710">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26137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8767D-CC56-497A-8670-59F3DDB9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56</Pages>
  <Words>14141</Words>
  <Characters>80609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veltsnn</dc:creator>
  <cp:lastModifiedBy>Наталья Вельц</cp:lastModifiedBy>
  <cp:revision>11</cp:revision>
  <cp:lastPrinted>2021-09-07T07:30:00Z</cp:lastPrinted>
  <dcterms:created xsi:type="dcterms:W3CDTF">2021-09-06T13:19:00Z</dcterms:created>
  <dcterms:modified xsi:type="dcterms:W3CDTF">2021-09-07T07:38:00Z</dcterms:modified>
</cp:coreProperties>
</file>