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91" w:rsidRPr="007E2CC7" w:rsidRDefault="004E1391" w:rsidP="004E1391">
      <w:pPr>
        <w:spacing w:line="340" w:lineRule="atLeast"/>
        <w:ind w:firstLine="540"/>
        <w:jc w:val="both"/>
        <w:rPr>
          <w:rFonts w:ascii="&amp;quot" w:hAnsi="&amp;quot"/>
          <w:b/>
          <w:color w:val="000000"/>
          <w:sz w:val="26"/>
          <w:szCs w:val="26"/>
          <w:u w:val="single"/>
        </w:rPr>
      </w:pPr>
      <w:r w:rsidRPr="007E2CC7">
        <w:rPr>
          <w:rFonts w:ascii="&amp;quot" w:hAnsi="&amp;quot"/>
          <w:b/>
          <w:color w:val="000000"/>
          <w:sz w:val="26"/>
          <w:szCs w:val="26"/>
          <w:u w:val="single"/>
        </w:rPr>
        <w:t xml:space="preserve">ТРЕБОВАНИЯ К НЕКОММЕРЧЕСКИМ ОРГАНИЗАЦИЯМ: </w:t>
      </w:r>
    </w:p>
    <w:p w:rsidR="004E1391" w:rsidRPr="00A24D7F" w:rsidRDefault="004E1391" w:rsidP="004E1391">
      <w:pPr>
        <w:spacing w:line="340" w:lineRule="atLeast"/>
        <w:ind w:firstLine="540"/>
        <w:jc w:val="both"/>
        <w:rPr>
          <w:rFonts w:ascii="&amp;quot" w:hAnsi="&amp;quot"/>
          <w:b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 xml:space="preserve">Каждая организация, деятельность которой в сфере представления и защиты прав и законных интересов профессиональных и социальных групп составляет </w:t>
      </w:r>
      <w:r w:rsidRPr="00A24D7F">
        <w:rPr>
          <w:rStyle w:val="blk"/>
          <w:rFonts w:ascii="&amp;quot" w:hAnsi="&amp;quot"/>
          <w:b/>
          <w:color w:val="000000"/>
          <w:sz w:val="26"/>
          <w:szCs w:val="26"/>
        </w:rPr>
        <w:t>не менее трех лет</w:t>
      </w:r>
      <w:r>
        <w:rPr>
          <w:rStyle w:val="blk"/>
          <w:rFonts w:ascii="&amp;quot" w:hAnsi="&amp;quot"/>
          <w:color w:val="000000"/>
          <w:sz w:val="26"/>
          <w:szCs w:val="26"/>
        </w:rPr>
        <w:t xml:space="preserve">, вправе предложить </w:t>
      </w:r>
      <w:r w:rsidRPr="00A24D7F">
        <w:rPr>
          <w:rStyle w:val="blk"/>
          <w:rFonts w:ascii="&amp;quot" w:hAnsi="&amp;quot"/>
          <w:b/>
          <w:color w:val="000000"/>
          <w:sz w:val="26"/>
          <w:szCs w:val="26"/>
        </w:rPr>
        <w:t>одного кандидата</w:t>
      </w:r>
      <w:r>
        <w:rPr>
          <w:rStyle w:val="blk"/>
          <w:rFonts w:ascii="&amp;quot" w:hAnsi="&amp;quot"/>
          <w:color w:val="000000"/>
          <w:sz w:val="26"/>
          <w:szCs w:val="26"/>
        </w:rPr>
        <w:t xml:space="preserve"> из числа граждан, которые имеют </w:t>
      </w:r>
      <w:r w:rsidRPr="00A24D7F">
        <w:rPr>
          <w:rStyle w:val="blk"/>
          <w:rFonts w:ascii="&amp;quot" w:hAnsi="&amp;quot"/>
          <w:b/>
          <w:color w:val="000000"/>
          <w:sz w:val="26"/>
          <w:szCs w:val="26"/>
        </w:rPr>
        <w:t>место жительства на территории Московской области.</w:t>
      </w:r>
    </w:p>
    <w:p w:rsidR="004E1391" w:rsidRDefault="004E1391" w:rsidP="004E1391">
      <w:pPr>
        <w:spacing w:line="340" w:lineRule="atLeast"/>
        <w:ind w:firstLine="540"/>
        <w:jc w:val="both"/>
        <w:rPr>
          <w:rStyle w:val="blk"/>
          <w:rFonts w:ascii="&amp;quot" w:hAnsi="&amp;quot"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 xml:space="preserve">К выдвижению кандидатов в члены Общественной палаты не допускаются некоммерческие организации, которые в соответствии с Федеральным </w:t>
      </w:r>
      <w:hyperlink r:id="rId4" w:history="1">
        <w:r>
          <w:rPr>
            <w:rStyle w:val="a3"/>
            <w:rFonts w:ascii="&amp;quot" w:hAnsi="&amp;quot"/>
            <w:sz w:val="26"/>
            <w:szCs w:val="26"/>
          </w:rPr>
          <w:t>законом</w:t>
        </w:r>
      </w:hyperlink>
      <w:r>
        <w:rPr>
          <w:rStyle w:val="blk"/>
          <w:rFonts w:ascii="&amp;quot" w:hAnsi="&amp;quot"/>
          <w:color w:val="000000"/>
          <w:sz w:val="26"/>
          <w:szCs w:val="26"/>
        </w:rPr>
        <w:t xml:space="preserve"> от 4 апреля 2005 года N 32-ФЗ "Об Общественной палате Российской Федерации" не могут выдвигать кандидатов в члены Общественной палаты Российской Федерации:</w:t>
      </w:r>
    </w:p>
    <w:p w:rsidR="004E1391" w:rsidRDefault="004E1391" w:rsidP="004E1391">
      <w:pPr>
        <w:spacing w:line="340" w:lineRule="atLeast"/>
        <w:ind w:firstLine="540"/>
        <w:jc w:val="both"/>
        <w:rPr>
          <w:rStyle w:val="blk"/>
          <w:rFonts w:ascii="&amp;quot" w:hAnsi="&amp;quot"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 xml:space="preserve">1) некоммерческие организации, </w:t>
      </w:r>
      <w:r w:rsidRPr="00453792">
        <w:rPr>
          <w:rStyle w:val="blk"/>
          <w:rFonts w:ascii="&amp;quot" w:hAnsi="&amp;quot"/>
          <w:b/>
          <w:color w:val="000000"/>
          <w:sz w:val="26"/>
          <w:szCs w:val="26"/>
        </w:rPr>
        <w:t xml:space="preserve">зарегистрированные менее чем за один год </w:t>
      </w:r>
      <w:r>
        <w:rPr>
          <w:rStyle w:val="blk"/>
          <w:rFonts w:ascii="&amp;quot" w:hAnsi="&amp;quot"/>
          <w:color w:val="000000"/>
          <w:sz w:val="26"/>
          <w:szCs w:val="26"/>
        </w:rPr>
        <w:t xml:space="preserve">до дня истечения срока полномочий членов Общественной палаты действующего состава, т.е. зарегистрированные до 9 сентября 2017 г.; </w:t>
      </w:r>
    </w:p>
    <w:p w:rsidR="004E1391" w:rsidRDefault="004E1391" w:rsidP="004E1391">
      <w:pPr>
        <w:spacing w:line="340" w:lineRule="atLeast"/>
        <w:ind w:firstLine="540"/>
        <w:jc w:val="both"/>
        <w:rPr>
          <w:rFonts w:ascii="&amp;quot" w:hAnsi="&amp;quot"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>2) политические партии;</w:t>
      </w:r>
    </w:p>
    <w:p w:rsidR="004E1391" w:rsidRDefault="004E1391" w:rsidP="004E1391">
      <w:pPr>
        <w:spacing w:line="340" w:lineRule="atLeast"/>
        <w:ind w:firstLine="540"/>
        <w:jc w:val="both"/>
        <w:rPr>
          <w:rFonts w:ascii="&amp;quot" w:hAnsi="&amp;quot"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 xml:space="preserve">3) некоммерческие организации, которым в соответствии с Федеральным </w:t>
      </w:r>
      <w:hyperlink r:id="rId5" w:history="1">
        <w:r>
          <w:rPr>
            <w:rStyle w:val="a3"/>
            <w:rFonts w:ascii="&amp;quot" w:hAnsi="&amp;quot"/>
            <w:sz w:val="26"/>
            <w:szCs w:val="26"/>
          </w:rPr>
          <w:t>законом</w:t>
        </w:r>
      </w:hyperlink>
      <w:r>
        <w:rPr>
          <w:rStyle w:val="blk"/>
          <w:rFonts w:ascii="&amp;quot" w:hAnsi="&amp;quot"/>
          <w:color w:val="000000"/>
          <w:sz w:val="26"/>
          <w:szCs w:val="26"/>
        </w:rPr>
        <w:t xml:space="preserve"> от 25 июля 2002 года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4E1391" w:rsidRDefault="004E1391" w:rsidP="004E1391">
      <w:pPr>
        <w:spacing w:line="340" w:lineRule="atLeast"/>
        <w:ind w:firstLine="540"/>
        <w:jc w:val="both"/>
        <w:rPr>
          <w:rStyle w:val="blk"/>
          <w:rFonts w:ascii="&amp;quot" w:hAnsi="&amp;quot"/>
          <w:color w:val="000000"/>
          <w:sz w:val="26"/>
          <w:szCs w:val="26"/>
        </w:rPr>
      </w:pPr>
      <w:r>
        <w:rPr>
          <w:rStyle w:val="blk"/>
          <w:rFonts w:ascii="&amp;quot" w:hAnsi="&amp;quot"/>
          <w:color w:val="000000"/>
          <w:sz w:val="26"/>
          <w:szCs w:val="26"/>
        </w:rPr>
        <w:t xml:space="preserve">4) некоммерческие организации, деятельность которых приостановлена в соответствии с Федеральным </w:t>
      </w:r>
      <w:hyperlink r:id="rId6" w:history="1">
        <w:r>
          <w:rPr>
            <w:rStyle w:val="a3"/>
            <w:rFonts w:ascii="&amp;quot" w:hAnsi="&amp;quot"/>
            <w:sz w:val="26"/>
            <w:szCs w:val="26"/>
          </w:rPr>
          <w:t>законом</w:t>
        </w:r>
      </w:hyperlink>
      <w:r>
        <w:rPr>
          <w:rStyle w:val="blk"/>
          <w:rFonts w:ascii="&amp;quot" w:hAnsi="&amp;quot"/>
          <w:color w:val="000000"/>
          <w:sz w:val="26"/>
          <w:szCs w:val="26"/>
        </w:rPr>
        <w:t xml:space="preserve"> от 25 июля 2002 года N 114-ФЗ "О противодействии экстремистской деятельности", если решение о приостановлении не было признано судом незаконным.</w:t>
      </w:r>
    </w:p>
    <w:p w:rsidR="004E1391" w:rsidRDefault="004E1391" w:rsidP="004E1391">
      <w:pPr>
        <w:spacing w:after="0" w:line="340" w:lineRule="atLeast"/>
        <w:ind w:firstLine="540"/>
        <w:jc w:val="both"/>
        <w:rPr>
          <w:rFonts w:ascii="&amp;quot" w:eastAsia="Times New Roman" w:hAnsi="&amp;quot"/>
          <w:color w:val="000000"/>
          <w:sz w:val="26"/>
          <w:szCs w:val="26"/>
          <w:lang w:eastAsia="ru-RU"/>
        </w:rPr>
      </w:pPr>
      <w:r w:rsidRPr="00B05530">
        <w:rPr>
          <w:rFonts w:ascii="&amp;quot" w:eastAsia="Times New Roman" w:hAnsi="&amp;quot"/>
          <w:color w:val="000000"/>
          <w:sz w:val="26"/>
          <w:szCs w:val="26"/>
          <w:lang w:eastAsia="ru-RU"/>
        </w:rPr>
        <w:t>Прием документов осуществляется по адресу: г. Москва, улица Кулакова, дом 20, строение 1А, кабинет 408-А.</w:t>
      </w:r>
      <w:r>
        <w:rPr>
          <w:rFonts w:ascii="&amp;quot" w:eastAsia="Times New Roman" w:hAnsi="&amp;quot"/>
          <w:color w:val="000000"/>
          <w:sz w:val="26"/>
          <w:szCs w:val="26"/>
          <w:lang w:eastAsia="ru-RU"/>
        </w:rPr>
        <w:t xml:space="preserve"> Подробнее на официальном сайте ОПМО </w:t>
      </w:r>
      <w:r w:rsidRPr="00FE432D">
        <w:rPr>
          <w:rFonts w:ascii="&amp;quot" w:eastAsia="Times New Roman" w:hAnsi="&amp;quot"/>
          <w:color w:val="000000"/>
          <w:sz w:val="26"/>
          <w:szCs w:val="26"/>
          <w:lang w:eastAsia="ru-RU"/>
        </w:rPr>
        <w:t>http://www.opmo.mosreg.ru/zmo/</w:t>
      </w:r>
    </w:p>
    <w:p w:rsidR="00483B8B" w:rsidRDefault="004E1391"/>
    <w:sectPr w:rsidR="00483B8B" w:rsidSect="00C2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1391"/>
    <w:rsid w:val="00237CF6"/>
    <w:rsid w:val="00366331"/>
    <w:rsid w:val="004E1391"/>
    <w:rsid w:val="00BE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1391"/>
    <w:rPr>
      <w:color w:val="0000FF"/>
      <w:u w:val="single"/>
    </w:rPr>
  </w:style>
  <w:style w:type="character" w:customStyle="1" w:styleId="blk">
    <w:name w:val="blk"/>
    <w:basedOn w:val="a0"/>
    <w:rsid w:val="004E1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consultant.ru/cloud/cgi/online.cgi?req=doc&amp;base=RZB&amp;n=189271&amp;rnd=28A62524065C3E2F753EAD58F37FF96E" TargetMode="External"/><Relationship Id="rId5" Type="http://schemas.openxmlformats.org/officeDocument/2006/relationships/hyperlink" Target="https://cloud.consultant.ru/cloud/cgi/online.cgi?req=doc&amp;base=RZB&amp;n=189271&amp;rnd=28A62524065C3E2F753EAD58F37FF96E" TargetMode="External"/><Relationship Id="rId4" Type="http://schemas.openxmlformats.org/officeDocument/2006/relationships/hyperlink" Target="https://cloud.consultant.ru/cloud/cgi/online.cgi?req=doc&amp;base=RZB&amp;n=284331&amp;rnd=28A62524065C3E2F753EAD58F37FF9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1</cp:revision>
  <dcterms:created xsi:type="dcterms:W3CDTF">2018-05-24T14:20:00Z</dcterms:created>
  <dcterms:modified xsi:type="dcterms:W3CDTF">2018-05-24T14:20:00Z</dcterms:modified>
</cp:coreProperties>
</file>