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Pr="00AE36BF" w:rsidRDefault="00995A72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_______________</w:t>
      </w:r>
      <w:r w:rsidR="00AE36BF" w:rsidRPr="00AE36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________________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5F7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E64F9"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72B3A" w:rsidRPr="00136DBF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963444">
        <w:rPr>
          <w:rFonts w:ascii="Times New Roman" w:hAnsi="Times New Roman" w:cs="Times New Roman"/>
          <w:sz w:val="24"/>
          <w:szCs w:val="24"/>
        </w:rPr>
        <w:t>№</w:t>
      </w:r>
      <w:r w:rsidR="00B52E74" w:rsidRPr="00136DBF">
        <w:rPr>
          <w:rFonts w:ascii="Times New Roman" w:hAnsi="Times New Roman" w:cs="Times New Roman"/>
          <w:sz w:val="24"/>
          <w:szCs w:val="24"/>
        </w:rPr>
        <w:t>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963444">
        <w:rPr>
          <w:rFonts w:ascii="Times New Roman" w:hAnsi="Times New Roman" w:cs="Times New Roman"/>
          <w:sz w:val="24"/>
          <w:szCs w:val="24"/>
        </w:rPr>
        <w:t>от 06.07.2020 №</w:t>
      </w:r>
      <w:r w:rsidR="00DC71E9">
        <w:rPr>
          <w:rFonts w:ascii="Times New Roman" w:hAnsi="Times New Roman" w:cs="Times New Roman"/>
          <w:sz w:val="24"/>
          <w:szCs w:val="24"/>
        </w:rPr>
        <w:t>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963444">
        <w:rPr>
          <w:rFonts w:ascii="Times New Roman" w:hAnsi="Times New Roman" w:cs="Times New Roman"/>
          <w:sz w:val="24"/>
          <w:szCs w:val="24"/>
        </w:rPr>
        <w:t>от 04.02.2022 №</w:t>
      </w:r>
      <w:r w:rsidR="007E5647" w:rsidRPr="007E5647">
        <w:rPr>
          <w:rFonts w:ascii="Times New Roman" w:hAnsi="Times New Roman" w:cs="Times New Roman"/>
          <w:sz w:val="24"/>
          <w:szCs w:val="24"/>
        </w:rPr>
        <w:t>117/2</w:t>
      </w:r>
      <w:r w:rsidR="00963444">
        <w:rPr>
          <w:rFonts w:ascii="Times New Roman" w:hAnsi="Times New Roman" w:cs="Times New Roman"/>
          <w:sz w:val="24"/>
          <w:szCs w:val="24"/>
        </w:rPr>
        <w:t xml:space="preserve">, от </w:t>
      </w:r>
      <w:r w:rsidR="00B64C47">
        <w:rPr>
          <w:rFonts w:ascii="Times New Roman" w:hAnsi="Times New Roman" w:cs="Times New Roman"/>
          <w:sz w:val="24"/>
          <w:szCs w:val="24"/>
        </w:rPr>
        <w:t>25.05.2022 №515/5</w:t>
      </w:r>
      <w:r w:rsidR="00E45EE3">
        <w:rPr>
          <w:rFonts w:ascii="Times New Roman" w:hAnsi="Times New Roman" w:cs="Times New Roman"/>
          <w:sz w:val="24"/>
          <w:szCs w:val="24"/>
        </w:rPr>
        <w:t xml:space="preserve">, от </w:t>
      </w:r>
      <w:r w:rsidR="0028633B">
        <w:rPr>
          <w:rFonts w:ascii="Times New Roman" w:hAnsi="Times New Roman" w:cs="Times New Roman"/>
          <w:sz w:val="24"/>
          <w:szCs w:val="24"/>
        </w:rPr>
        <w:t>15.06.2022 №605/6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645896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A53E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946"/>
      </w:tblGrid>
      <w:tr w:rsidR="009D1A18" w:rsidRPr="00965B8F" w:rsidTr="007E5647">
        <w:tc>
          <w:tcPr>
            <w:tcW w:w="7621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D1A18" w:rsidRPr="00101E79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1E79" w:rsidRPr="00101E79">
              <w:rPr>
                <w:rFonts w:ascii="Times New Roman" w:eastAsia="Times New Roman" w:hAnsi="Times New Roman" w:cs="Arial"/>
                <w:sz w:val="24"/>
                <w:szCs w:val="24"/>
              </w:rPr>
              <w:t>_______________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№ </w:t>
            </w:r>
            <w:r w:rsidR="00101E79" w:rsidRPr="00101E79">
              <w:rPr>
                <w:rFonts w:ascii="Times New Roman" w:eastAsia="Times New Roman" w:hAnsi="Times New Roman" w:cs="Arial"/>
                <w:sz w:val="24"/>
                <w:szCs w:val="24"/>
              </w:rPr>
              <w:t>____________</w:t>
            </w:r>
          </w:p>
          <w:p w:rsidR="009D1A18" w:rsidRPr="009D1A18" w:rsidRDefault="009D1A18" w:rsidP="0028633B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63444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 №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444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№243/4, от 06.07.2020 №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963444">
              <w:rPr>
                <w:rFonts w:ascii="Times New Roman" w:hAnsi="Times New Roman" w:cs="Times New Roman"/>
                <w:sz w:val="24"/>
                <w:szCs w:val="24"/>
              </w:rPr>
              <w:t>04.02.2022 №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117/2</w:t>
            </w:r>
            <w:r w:rsidR="00B64C47">
              <w:rPr>
                <w:rFonts w:ascii="Times New Roman" w:hAnsi="Times New Roman" w:cs="Times New Roman"/>
                <w:sz w:val="24"/>
                <w:szCs w:val="24"/>
              </w:rPr>
              <w:t>, от 25.05.2022 №515/5</w:t>
            </w:r>
            <w:r w:rsidR="007D106C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="0028633B">
              <w:rPr>
                <w:rFonts w:ascii="Times New Roman" w:hAnsi="Times New Roman" w:cs="Times New Roman"/>
                <w:sz w:val="24"/>
                <w:szCs w:val="24"/>
              </w:rPr>
              <w:t xml:space="preserve"> 15.06.2022 №605/6)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tbl>
      <w:tblPr>
        <w:tblW w:w="15264" w:type="dxa"/>
        <w:tblInd w:w="89" w:type="dxa"/>
        <w:tblLook w:val="04A0" w:firstRow="1" w:lastRow="0" w:firstColumn="1" w:lastColumn="0" w:noHBand="0" w:noVBand="1"/>
      </w:tblPr>
      <w:tblGrid>
        <w:gridCol w:w="3421"/>
        <w:gridCol w:w="1737"/>
        <w:gridCol w:w="1737"/>
        <w:gridCol w:w="1696"/>
        <w:gridCol w:w="1629"/>
        <w:gridCol w:w="1681"/>
        <w:gridCol w:w="1748"/>
        <w:gridCol w:w="1615"/>
      </w:tblGrid>
      <w:tr w:rsidR="007D106C" w:rsidRPr="00136DBF" w:rsidTr="007D106C">
        <w:trPr>
          <w:trHeight w:val="990"/>
        </w:trPr>
        <w:tc>
          <w:tcPr>
            <w:tcW w:w="15264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06C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D106C" w:rsidRPr="00136DBF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"Строительство объектов социальной инфраструктуры" </w:t>
            </w:r>
          </w:p>
          <w:p w:rsidR="007D106C" w:rsidRPr="00136DBF" w:rsidRDefault="0028633B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2020-2025</w:t>
            </w:r>
            <w:r w:rsidR="007D106C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D106C" w:rsidRPr="00136DBF" w:rsidTr="007D106C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D106C" w:rsidRPr="00136DBF" w:rsidTr="007D106C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D106C" w:rsidRPr="00136DBF" w:rsidTr="007D106C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D106C" w:rsidRPr="00136DBF" w:rsidTr="007D106C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D106C" w:rsidRPr="00136DBF" w:rsidTr="007D106C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106C" w:rsidRPr="00136DBF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D106C" w:rsidRPr="00136DBF" w:rsidTr="007D106C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C" w:rsidRPr="00136DBF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7D106C" w:rsidRPr="009859CD" w:rsidTr="007D106C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4E53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689,04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5 659,69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155 295,00</w:t>
            </w:r>
          </w:p>
        </w:tc>
      </w:tr>
      <w:tr w:rsidR="007D106C" w:rsidRPr="009859CD" w:rsidTr="007D106C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4E53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900,78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19 272,86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528 824,00</w:t>
            </w:r>
          </w:p>
        </w:tc>
      </w:tr>
      <w:tr w:rsidR="007D106C" w:rsidRPr="009859CD" w:rsidTr="007D106C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106C" w:rsidRPr="009859CD" w:rsidTr="007D106C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106C" w:rsidRPr="00136DBF" w:rsidTr="007D106C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6C" w:rsidRPr="009859CD" w:rsidRDefault="007D106C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4E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465,92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F10936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B71DE7" w:rsidRDefault="007D106C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24 932,55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106C" w:rsidRPr="00AC63F3" w:rsidRDefault="007D106C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684 119,00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353" w:type="dxa"/>
        <w:tblLayout w:type="fixed"/>
        <w:tblLook w:val="04A0" w:firstRow="1" w:lastRow="0" w:firstColumn="1" w:lastColumn="0" w:noHBand="0" w:noVBand="1"/>
      </w:tblPr>
      <w:tblGrid>
        <w:gridCol w:w="576"/>
        <w:gridCol w:w="2132"/>
        <w:gridCol w:w="595"/>
        <w:gridCol w:w="1820"/>
        <w:gridCol w:w="1368"/>
        <w:gridCol w:w="1485"/>
        <w:gridCol w:w="827"/>
        <w:gridCol w:w="827"/>
        <w:gridCol w:w="827"/>
        <w:gridCol w:w="827"/>
        <w:gridCol w:w="827"/>
        <w:gridCol w:w="897"/>
        <w:gridCol w:w="2345"/>
      </w:tblGrid>
      <w:tr w:rsidR="007D106C" w:rsidRPr="00136DBF" w:rsidTr="007D106C">
        <w:tc>
          <w:tcPr>
            <w:tcW w:w="576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7" w:type="dxa"/>
            <w:gridSpan w:val="2"/>
            <w:vMerge w:val="restart"/>
          </w:tcPr>
          <w:p w:rsidR="007D106C" w:rsidRPr="002C4F20" w:rsidRDefault="007D106C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820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032" w:type="dxa"/>
            <w:gridSpan w:val="6"/>
          </w:tcPr>
          <w:p w:rsidR="007D106C" w:rsidRPr="002C4F20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345" w:type="dxa"/>
            <w:vMerge w:val="restart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7D106C" w:rsidRPr="00136DBF" w:rsidTr="007D106C">
        <w:trPr>
          <w:trHeight w:val="411"/>
        </w:trPr>
        <w:tc>
          <w:tcPr>
            <w:tcW w:w="576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9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345" w:type="dxa"/>
            <w:vMerge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5" w:type="dxa"/>
          </w:tcPr>
          <w:p w:rsidR="007D106C" w:rsidRPr="00136DBF" w:rsidRDefault="007D106C" w:rsidP="007D1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7D106C" w:rsidRPr="00136DBF" w:rsidRDefault="007D106C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5" w:type="dxa"/>
            <w:gridSpan w:val="11"/>
          </w:tcPr>
          <w:p w:rsidR="007D106C" w:rsidRPr="00136DBF" w:rsidRDefault="007D106C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7D106C" w:rsidRPr="00136DBF" w:rsidRDefault="007D106C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D106C" w:rsidRPr="00136DBF" w:rsidRDefault="007D106C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7D106C" w:rsidRPr="00200CE7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200CE7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200CE7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7D106C" w:rsidRPr="00136DBF" w:rsidTr="007D106C">
        <w:trPr>
          <w:trHeight w:val="1998"/>
        </w:trPr>
        <w:tc>
          <w:tcPr>
            <w:tcW w:w="576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20" w:type="dxa"/>
          </w:tcPr>
          <w:p w:rsidR="007D106C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7D106C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7D106C" w:rsidRPr="00136DBF" w:rsidRDefault="007D106C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820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auto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7D106C" w:rsidRPr="00136DBF" w:rsidTr="007D106C">
        <w:tc>
          <w:tcPr>
            <w:tcW w:w="576" w:type="dxa"/>
          </w:tcPr>
          <w:p w:rsidR="007D106C" w:rsidRPr="00136DBF" w:rsidRDefault="007D106C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727" w:type="dxa"/>
            <w:gridSpan w:val="2"/>
          </w:tcPr>
          <w:p w:rsidR="007D106C" w:rsidRPr="00136DBF" w:rsidRDefault="007D106C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20" w:type="dxa"/>
          </w:tcPr>
          <w:p w:rsidR="007D106C" w:rsidRDefault="007D106C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7D106C" w:rsidRPr="00645896" w:rsidRDefault="007D106C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06C" w:rsidRPr="00645896" w:rsidRDefault="007D106C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7D106C" w:rsidRPr="00645896" w:rsidRDefault="007D106C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6C" w:rsidRPr="00136DBF" w:rsidRDefault="007D106C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7D106C" w:rsidRPr="00136DBF" w:rsidRDefault="007D106C" w:rsidP="00A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5" w:type="dxa"/>
          </w:tcPr>
          <w:p w:rsidR="007D106C" w:rsidRPr="00136DBF" w:rsidRDefault="007D106C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000"/>
        <w:gridCol w:w="1285"/>
        <w:gridCol w:w="5122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28633B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2020-2025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2"/>
        <w:gridCol w:w="1106"/>
        <w:gridCol w:w="1106"/>
        <w:gridCol w:w="1060"/>
        <w:gridCol w:w="1133"/>
        <w:gridCol w:w="1063"/>
        <w:gridCol w:w="1081"/>
        <w:gridCol w:w="1233"/>
        <w:gridCol w:w="15"/>
        <w:gridCol w:w="3548"/>
      </w:tblGrid>
      <w:tr w:rsidR="007D106C" w:rsidRPr="00C51E9B" w:rsidTr="007D106C">
        <w:trPr>
          <w:trHeight w:val="590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725" w:type="pct"/>
            <w:gridSpan w:val="9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D106C" w:rsidRPr="00C51E9B" w:rsidTr="007D106C">
        <w:trPr>
          <w:trHeight w:val="1192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7D1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05" w:type="pct"/>
            <w:vAlign w:val="center"/>
          </w:tcPr>
          <w:p w:rsidR="007D106C" w:rsidRPr="00C51E9B" w:rsidRDefault="007D106C" w:rsidP="007D10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7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7D106C" w:rsidRPr="00C51E9B" w:rsidTr="007D106C">
        <w:trPr>
          <w:trHeight w:val="42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1 499 465,92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70 000,00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24 932,55</w:t>
            </w:r>
          </w:p>
        </w:tc>
        <w:tc>
          <w:tcPr>
            <w:tcW w:w="410" w:type="pct"/>
            <w:gridSpan w:val="2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684 119,00</w:t>
            </w:r>
          </w:p>
        </w:tc>
        <w:tc>
          <w:tcPr>
            <w:tcW w:w="116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06C" w:rsidRPr="00C51E9B" w:rsidRDefault="007D106C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D106C" w:rsidRPr="00C51E9B" w:rsidTr="007D106C">
        <w:trPr>
          <w:trHeight w:val="77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71 689,04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66 029,35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093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5 659,69</w:t>
            </w:r>
          </w:p>
        </w:tc>
        <w:tc>
          <w:tcPr>
            <w:tcW w:w="410" w:type="pct"/>
            <w:gridSpan w:val="2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155 295,00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106C" w:rsidRPr="00C51E9B" w:rsidRDefault="007D106C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06C" w:rsidRPr="00C51E9B" w:rsidTr="007D106C">
        <w:trPr>
          <w:trHeight w:val="42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1 171 900,78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1 152 627,92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19 272,86</w:t>
            </w:r>
          </w:p>
        </w:tc>
        <w:tc>
          <w:tcPr>
            <w:tcW w:w="410" w:type="pct"/>
            <w:gridSpan w:val="2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528 824,00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106C" w:rsidRPr="00C51E9B" w:rsidRDefault="007D106C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06C" w:rsidRPr="00C51E9B" w:rsidTr="007D106C">
        <w:trPr>
          <w:trHeight w:val="42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105 876,10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105 876,10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gridSpan w:val="2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D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106C" w:rsidRPr="00C51E9B" w:rsidRDefault="007D106C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06C" w:rsidRPr="00284004" w:rsidTr="007D106C">
        <w:trPr>
          <w:trHeight w:val="42"/>
          <w:jc w:val="center"/>
        </w:trPr>
        <w:tc>
          <w:tcPr>
            <w:tcW w:w="127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C51E9B" w:rsidRDefault="007D106C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150 000,00</w:t>
            </w:r>
          </w:p>
        </w:tc>
        <w:tc>
          <w:tcPr>
            <w:tcW w:w="3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0936">
              <w:rPr>
                <w:rFonts w:ascii="Times New Roman" w:hAnsi="Times New Roman" w:cs="Times New Roman"/>
                <w:color w:val="000000" w:themeColor="text1"/>
                <w:sz w:val="20"/>
              </w:rPr>
              <w:t>80 000,00</w:t>
            </w:r>
          </w:p>
        </w:tc>
        <w:tc>
          <w:tcPr>
            <w:tcW w:w="34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4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F10936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9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5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gridSpan w:val="2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D1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6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D106C" w:rsidRPr="00284004" w:rsidRDefault="007D106C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0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</w:t>
      </w:r>
      <w:r w:rsidRPr="00136DBF">
        <w:rPr>
          <w:rFonts w:ascii="Times New Roman CYR" w:hAnsi="Times New Roman CYR" w:cs="Times New Roman CYR"/>
          <w:sz w:val="24"/>
          <w:szCs w:val="24"/>
        </w:rPr>
        <w:lastRenderedPageBreak/>
        <w:t>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28633B">
        <w:rPr>
          <w:rFonts w:ascii="Times New Roman" w:hAnsi="Times New Roman" w:cs="Times New Roman"/>
          <w:b/>
          <w:sz w:val="24"/>
          <w:szCs w:val="24"/>
        </w:rPr>
        <w:t>на 2020-2025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113"/>
        <w:gridCol w:w="1213"/>
        <w:gridCol w:w="1713"/>
        <w:gridCol w:w="1105"/>
        <w:gridCol w:w="1133"/>
        <w:gridCol w:w="851"/>
        <w:gridCol w:w="568"/>
        <w:gridCol w:w="804"/>
        <w:gridCol w:w="937"/>
        <w:gridCol w:w="940"/>
        <w:gridCol w:w="1916"/>
        <w:gridCol w:w="1575"/>
      </w:tblGrid>
      <w:tr w:rsidR="007D106C" w:rsidRPr="00747BA1" w:rsidTr="0028633B">
        <w:trPr>
          <w:trHeight w:val="1050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04" w:type="pct"/>
            <w:gridSpan w:val="6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747BA1" w:rsidRDefault="007D106C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7D106C" w:rsidRPr="00747BA1" w:rsidTr="0028633B">
        <w:trPr>
          <w:trHeight w:val="72"/>
        </w:trPr>
        <w:tc>
          <w:tcPr>
            <w:tcW w:w="158" w:type="pct"/>
            <w:vMerge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06" w:type="pct"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00"/>
        </w:trPr>
        <w:tc>
          <w:tcPr>
            <w:tcW w:w="1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6" w:type="pct"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4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3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D106C" w:rsidRPr="00747BA1" w:rsidTr="0028633B">
        <w:trPr>
          <w:trHeight w:val="77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</w:t>
            </w:r>
            <w:r w:rsidR="00286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D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25 230,98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684 119,00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106C" w:rsidRPr="00747BA1" w:rsidTr="0028633B">
        <w:trPr>
          <w:trHeight w:val="615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5 958,12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155 295,00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3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528 824,00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3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77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8E676B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D106C" w:rsidRPr="00747BA1" w:rsidTr="0028633B">
        <w:trPr>
          <w:trHeight w:val="48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0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27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270"/>
        </w:trPr>
        <w:tc>
          <w:tcPr>
            <w:tcW w:w="158" w:type="pct"/>
            <w:vMerge w:val="restart"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688" w:type="pct"/>
            <w:vMerge w:val="restart"/>
            <w:vAlign w:val="center"/>
            <w:hideMark/>
          </w:tcPr>
          <w:p w:rsidR="007D106C" w:rsidRPr="00142BFC" w:rsidRDefault="007D106C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7D106C" w:rsidRPr="00747BA1" w:rsidRDefault="007D106C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7D106C" w:rsidRPr="00747BA1" w:rsidRDefault="007D106C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2022-202</w:t>
            </w:r>
            <w:r w:rsidR="002863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24 932,55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684 119,00</w:t>
            </w:r>
          </w:p>
        </w:tc>
        <w:tc>
          <w:tcPr>
            <w:tcW w:w="624" w:type="pct"/>
            <w:vMerge w:val="restart"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vAlign w:val="center"/>
            <w:hideMark/>
          </w:tcPr>
          <w:p w:rsidR="007D106C" w:rsidRPr="00142BFC" w:rsidRDefault="007D106C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7D106C" w:rsidRPr="00142BFC" w:rsidRDefault="007D106C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7D106C" w:rsidRPr="00747BA1" w:rsidRDefault="007D106C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стройконтроль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D106C" w:rsidRPr="00747BA1" w:rsidTr="0028633B">
        <w:trPr>
          <w:trHeight w:val="27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659,69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155 295,00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27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0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19 272,86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528 824,00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27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77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28633B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7D106C" w:rsidRPr="00200CE7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7D106C" w:rsidRPr="00747BA1" w:rsidTr="0028633B">
        <w:trPr>
          <w:trHeight w:val="90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360" w:type="pct"/>
            <w:shd w:val="clear" w:color="000000" w:fill="FFFFFF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000000" w:fill="FFFFFF"/>
            <w:hideMark/>
          </w:tcPr>
          <w:p w:rsidR="007D106C" w:rsidRPr="008E676B" w:rsidRDefault="007D106C" w:rsidP="0028633B">
            <w:pPr>
              <w:spacing w:after="0" w:line="240" w:lineRule="auto"/>
              <w:ind w:left="-107"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5" w:type="pct"/>
            <w:shd w:val="clear" w:color="000000" w:fill="FFFFFF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000000" w:fill="FFFFFF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000000" w:fill="FFFFFF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7D106C" w:rsidRPr="00200CE7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883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28633B">
            <w:pPr>
              <w:spacing w:after="0" w:line="240" w:lineRule="auto"/>
              <w:ind w:left="-107"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7D106C" w:rsidRPr="00200CE7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6A1CF6" w:rsidRDefault="007D106C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7D106C" w:rsidRPr="006A1CF6" w:rsidRDefault="007D106C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7D106C" w:rsidRPr="00747BA1" w:rsidTr="0028633B">
        <w:trPr>
          <w:trHeight w:val="179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60" w:type="pct"/>
            <w:shd w:val="clear" w:color="000000" w:fill="FFFFFF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000000" w:fill="FFFFFF"/>
            <w:hideMark/>
          </w:tcPr>
          <w:p w:rsidR="007D106C" w:rsidRPr="008E676B" w:rsidRDefault="007D106C" w:rsidP="0028633B">
            <w:pPr>
              <w:spacing w:after="0" w:line="240" w:lineRule="auto"/>
              <w:ind w:left="-107"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5" w:type="pct"/>
            <w:shd w:val="clear" w:color="000000" w:fill="FFFFFF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000000" w:fill="FFFFFF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5" w:type="pct"/>
            <w:shd w:val="clear" w:color="000000" w:fill="FFFFFF"/>
            <w:hideMark/>
          </w:tcPr>
          <w:p w:rsidR="007D106C" w:rsidRPr="00200CE7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06" w:type="pct"/>
          </w:tcPr>
          <w:p w:rsidR="007D106C" w:rsidRPr="00200CE7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00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5C6CB5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</w:t>
            </w:r>
            <w:r w:rsidR="0028633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000000" w:fill="FFFFFF"/>
            <w:hideMark/>
          </w:tcPr>
          <w:p w:rsidR="007D106C" w:rsidRPr="008E676B" w:rsidRDefault="007D106C" w:rsidP="0028633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2863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000000" w:fill="FFFFFF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7D106C" w:rsidRPr="00747BA1" w:rsidTr="0028633B">
        <w:trPr>
          <w:trHeight w:val="615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75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77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02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содействию созданию в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субъектах Российской Федерации новых мест в общеобразовательных организациях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деятельности и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благоустройства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6A1CF6" w:rsidRDefault="007D106C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Количество введенных в эксплуатацию объектов общего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–</w:t>
            </w:r>
          </w:p>
          <w:p w:rsidR="007D106C" w:rsidRPr="006A1CF6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7D106C" w:rsidRPr="006A1CF6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7D106C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7D106C" w:rsidRPr="006A1CF6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06C" w:rsidRPr="00747BA1" w:rsidTr="0028633B">
        <w:trPr>
          <w:trHeight w:val="54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48 673,81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45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77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74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136DBF" w:rsidRDefault="007D106C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28633B" w:rsidP="0043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</w:t>
            </w:r>
            <w:r w:rsidR="007D106C" w:rsidRPr="00ED40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6067F4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6A1CF6" w:rsidRDefault="007D106C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106C" w:rsidRPr="00747BA1" w:rsidTr="0028633B">
        <w:trPr>
          <w:trHeight w:val="54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697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ED4020" w:rsidRDefault="007D106C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ED4020" w:rsidRDefault="007D106C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ED4020" w:rsidRDefault="007D106C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ED4020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72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8E676B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6A1CF6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введенных в эксплуатацию объектов общего образования </w:t>
            </w:r>
          </w:p>
          <w:p w:rsidR="007D106C" w:rsidRPr="006A1CF6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7D106C" w:rsidRPr="006A1CF6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7D106C" w:rsidRPr="006A1CF6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7D106C" w:rsidRPr="00747BA1" w:rsidTr="0028633B">
        <w:trPr>
          <w:trHeight w:val="525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8E676B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48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375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8E676B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7D106C" w:rsidRPr="006A1CF6" w:rsidRDefault="007D106C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 </w:t>
            </w:r>
          </w:p>
        </w:tc>
      </w:tr>
      <w:tr w:rsidR="007D106C" w:rsidRPr="00747BA1" w:rsidTr="0028633B">
        <w:trPr>
          <w:trHeight w:val="48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6A1CF6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06C" w:rsidRPr="00747BA1" w:rsidTr="0028633B">
        <w:trPr>
          <w:trHeight w:val="527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747B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6A1CF6" w:rsidRDefault="007D106C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106C" w:rsidRPr="00747BA1" w:rsidTr="0028633B">
        <w:trPr>
          <w:trHeight w:val="72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Default="007D106C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7D106C" w:rsidRPr="00F94CA1" w:rsidRDefault="007D106C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Капитальные вложения в общеобразовательные организации в целях обеспечения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односменного режима обучения</w:t>
            </w:r>
          </w:p>
          <w:p w:rsidR="007D106C" w:rsidRPr="00F94C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F94CA1" w:rsidRDefault="007D106C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F94C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7D106C" w:rsidRPr="00747BA1" w:rsidRDefault="007D106C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введенных в эксплуатацию объектов общего образования –</w:t>
            </w:r>
          </w:p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т.ч. 2020 –</w:t>
            </w:r>
          </w:p>
          <w:p w:rsidR="007D106C" w:rsidRPr="006A1CF6" w:rsidRDefault="007D106C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7D106C" w:rsidRPr="006A1CF6" w:rsidRDefault="007D106C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106C" w:rsidRPr="00747BA1" w:rsidTr="0028633B">
        <w:trPr>
          <w:trHeight w:val="48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F94CA1" w:rsidRDefault="007D106C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ED4020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191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F94CA1" w:rsidRDefault="007D106C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8E676B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4" w:type="pct"/>
            <w:vMerge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106C" w:rsidRPr="00747BA1" w:rsidTr="0028633B">
        <w:trPr>
          <w:trHeight w:val="525"/>
        </w:trPr>
        <w:tc>
          <w:tcPr>
            <w:tcW w:w="158" w:type="pct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7D106C" w:rsidRPr="00F94CA1" w:rsidRDefault="007D106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71 689,04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66 029,35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5 659,69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155 295,00</w:t>
            </w:r>
          </w:p>
        </w:tc>
        <w:tc>
          <w:tcPr>
            <w:tcW w:w="1137" w:type="pct"/>
            <w:gridSpan w:val="2"/>
            <w:vMerge w:val="restart"/>
            <w:shd w:val="clear" w:color="auto" w:fill="auto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D106C" w:rsidRPr="00747BA1" w:rsidTr="0028633B">
        <w:trPr>
          <w:trHeight w:val="555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AC63F3" w:rsidRDefault="007D106C" w:rsidP="0028633B">
            <w:pPr>
              <w:pStyle w:val="ConsPlusNormal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1 171 900,78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AC63F3" w:rsidRDefault="007D106C" w:rsidP="0028633B">
            <w:pPr>
              <w:pStyle w:val="ConsPlusNormal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1152627,92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19 272,86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528 824,00</w:t>
            </w: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06C" w:rsidRPr="00747BA1" w:rsidTr="0028633B">
        <w:trPr>
          <w:trHeight w:val="30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AC63F3" w:rsidRDefault="007D106C" w:rsidP="0028633B">
            <w:pPr>
              <w:pStyle w:val="ConsPlusNormal"/>
              <w:ind w:left="-2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105876,10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D106C" w:rsidRDefault="007D106C" w:rsidP="007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06C" w:rsidRPr="00747BA1" w:rsidTr="0028633B">
        <w:trPr>
          <w:trHeight w:val="300"/>
        </w:trPr>
        <w:tc>
          <w:tcPr>
            <w:tcW w:w="158" w:type="pct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F94CA1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150 000,00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80 000,00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AC63F3" w:rsidRDefault="007D106C" w:rsidP="002863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6" w:type="pct"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7D106C" w:rsidRPr="00747BA1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106C" w:rsidRPr="00AA4099" w:rsidTr="0028633B">
        <w:trPr>
          <w:trHeight w:val="300"/>
        </w:trPr>
        <w:tc>
          <w:tcPr>
            <w:tcW w:w="158" w:type="pct"/>
            <w:vMerge/>
            <w:vAlign w:val="center"/>
            <w:hideMark/>
          </w:tcPr>
          <w:p w:rsidR="007D106C" w:rsidRPr="00AA4099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7D106C" w:rsidRPr="00AA4099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  <w:hideMark/>
          </w:tcPr>
          <w:p w:rsidR="007D106C" w:rsidRPr="00AA4099" w:rsidRDefault="007D106C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7D106C" w:rsidRPr="00AC63F3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0" w:type="pct"/>
            <w:shd w:val="clear" w:color="auto" w:fill="auto"/>
            <w:hideMark/>
          </w:tcPr>
          <w:p w:rsidR="007D106C" w:rsidRPr="00AC63F3" w:rsidRDefault="007D106C" w:rsidP="0028633B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1 499 465,92</w:t>
            </w:r>
          </w:p>
        </w:tc>
        <w:tc>
          <w:tcPr>
            <w:tcW w:w="369" w:type="pct"/>
            <w:shd w:val="clear" w:color="auto" w:fill="FFFFFF" w:themeFill="background1"/>
            <w:hideMark/>
          </w:tcPr>
          <w:p w:rsidR="007D106C" w:rsidRPr="00AC63F3" w:rsidRDefault="007D106C" w:rsidP="0028633B">
            <w:pPr>
              <w:pStyle w:val="ConsPlusNormal"/>
              <w:ind w:left="-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863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404</w:t>
            </w:r>
            <w:r w:rsidR="0028633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533,37</w:t>
            </w:r>
          </w:p>
        </w:tc>
        <w:tc>
          <w:tcPr>
            <w:tcW w:w="277" w:type="pct"/>
            <w:shd w:val="clear" w:color="auto" w:fill="auto"/>
            <w:hideMark/>
          </w:tcPr>
          <w:p w:rsidR="007D106C" w:rsidRPr="00AC63F3" w:rsidRDefault="007D106C" w:rsidP="0028633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85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62" w:type="pct"/>
            <w:shd w:val="clear" w:color="auto" w:fill="auto"/>
            <w:hideMark/>
          </w:tcPr>
          <w:p w:rsidR="007D106C" w:rsidRPr="00AC63F3" w:rsidRDefault="007D106C" w:rsidP="00AC63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7D106C" w:rsidRPr="00AC63F3" w:rsidRDefault="007D106C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63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24 932,55</w:t>
            </w:r>
          </w:p>
        </w:tc>
        <w:tc>
          <w:tcPr>
            <w:tcW w:w="306" w:type="pct"/>
          </w:tcPr>
          <w:p w:rsidR="007D106C" w:rsidRPr="00AA4099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0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684 119,00</w:t>
            </w:r>
          </w:p>
        </w:tc>
        <w:tc>
          <w:tcPr>
            <w:tcW w:w="1137" w:type="pct"/>
            <w:gridSpan w:val="2"/>
            <w:vMerge/>
            <w:vAlign w:val="center"/>
            <w:hideMark/>
          </w:tcPr>
          <w:p w:rsidR="007D106C" w:rsidRPr="00AA4099" w:rsidRDefault="007D106C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3F3" w:rsidRDefault="00AC63F3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sub_10127"/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1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32"/>
        <w:gridCol w:w="1774"/>
        <w:gridCol w:w="2303"/>
        <w:gridCol w:w="985"/>
        <w:gridCol w:w="1216"/>
        <w:gridCol w:w="1552"/>
        <w:gridCol w:w="1356"/>
        <w:gridCol w:w="936"/>
        <w:gridCol w:w="936"/>
        <w:gridCol w:w="536"/>
        <w:gridCol w:w="536"/>
        <w:gridCol w:w="536"/>
        <w:gridCol w:w="536"/>
        <w:gridCol w:w="537"/>
        <w:gridCol w:w="1182"/>
      </w:tblGrid>
      <w:tr w:rsidR="006E5C0B" w:rsidRPr="00136DBF" w:rsidTr="006E5C0B">
        <w:trPr>
          <w:trHeight w:val="1125"/>
        </w:trPr>
        <w:tc>
          <w:tcPr>
            <w:tcW w:w="141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78" w:type="pct"/>
            <w:vMerge w:val="restart"/>
            <w:hideMark/>
          </w:tcPr>
          <w:p w:rsidR="006E5C0B" w:rsidRPr="00136DBF" w:rsidRDefault="006E5C0B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50" w:type="pct"/>
            <w:vMerge w:val="restart"/>
            <w:hideMark/>
          </w:tcPr>
          <w:p w:rsidR="006E5C0B" w:rsidRPr="00136DBF" w:rsidRDefault="006E5C0B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321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396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505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442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83" w:type="pct"/>
            <w:gridSpan w:val="7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385" w:type="pct"/>
            <w:vMerge w:val="restar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6E5C0B" w:rsidRPr="00136DBF" w:rsidTr="006E5C0B">
        <w:trPr>
          <w:trHeight w:val="54"/>
        </w:trPr>
        <w:tc>
          <w:tcPr>
            <w:tcW w:w="141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75" w:type="pct"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85" w:type="pct"/>
            <w:vMerge/>
            <w:hideMark/>
          </w:tcPr>
          <w:p w:rsidR="006E5C0B" w:rsidRPr="00136DBF" w:rsidRDefault="006E5C0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C0B" w:rsidRPr="00136DBF" w:rsidTr="006E5C0B">
        <w:trPr>
          <w:trHeight w:val="140"/>
        </w:trPr>
        <w:tc>
          <w:tcPr>
            <w:tcW w:w="141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0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1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2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5" w:type="pct"/>
            <w:hideMark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5" w:type="pct"/>
          </w:tcPr>
          <w:p w:rsidR="006E5C0B" w:rsidRPr="00136DBF" w:rsidRDefault="006E5C0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5" w:type="pct"/>
            <w:hideMark/>
          </w:tcPr>
          <w:p w:rsidR="006E5C0B" w:rsidRPr="00136DBF" w:rsidRDefault="006E5C0B" w:rsidP="006E5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E5C0B" w:rsidRPr="00136DBF" w:rsidTr="006E5C0B">
        <w:trPr>
          <w:trHeight w:val="349"/>
        </w:trPr>
        <w:tc>
          <w:tcPr>
            <w:tcW w:w="141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5C0B" w:rsidRPr="00136DBF" w:rsidRDefault="006E5C0B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8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750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2017-2020</w:t>
            </w:r>
          </w:p>
        </w:tc>
        <w:tc>
          <w:tcPr>
            <w:tcW w:w="321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396" w:type="pct"/>
            <w:vMerge w:val="restart"/>
            <w:hideMark/>
          </w:tcPr>
          <w:p w:rsidR="006E5C0B" w:rsidRPr="00AA6195" w:rsidRDefault="006E5C0B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5" w:type="pct"/>
            <w:hideMark/>
          </w:tcPr>
          <w:p w:rsidR="006E5C0B" w:rsidRPr="00136DBF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AA6195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6E5C0B" w:rsidRPr="00136DBF" w:rsidTr="006E5C0B">
        <w:trPr>
          <w:trHeight w:val="54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811 845,83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AA6195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6E5C0B" w:rsidRPr="00136DBF" w:rsidTr="006E5C0B">
        <w:trPr>
          <w:trHeight w:val="509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442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05" w:type="pct"/>
            <w:vMerge w:val="restar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305" w:type="pct"/>
            <w:vMerge w:val="restar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75" w:type="pct"/>
            <w:vMerge w:val="restar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vMerge w:val="restar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vMerge w:val="restar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vMerge w:val="restar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vMerge w:val="restar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 w:val="restart"/>
            <w:hideMark/>
          </w:tcPr>
          <w:p w:rsidR="006E5C0B" w:rsidRPr="00AA6195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E5C0B" w:rsidRPr="00AA6195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241"/>
        </w:trPr>
        <w:tc>
          <w:tcPr>
            <w:tcW w:w="141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750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vMerge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vMerge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vMerge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vMerge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vMerge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hideMark/>
          </w:tcPr>
          <w:p w:rsidR="006E5C0B" w:rsidRPr="00AA6195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C0B" w:rsidRPr="00136DBF" w:rsidTr="006E5C0B">
        <w:trPr>
          <w:trHeight w:val="611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AA6195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70"/>
        </w:trPr>
        <w:tc>
          <w:tcPr>
            <w:tcW w:w="141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pct"/>
            <w:vMerge w:val="restar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50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321" w:type="pct"/>
            <w:vMerge w:val="restar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396" w:type="pct"/>
            <w:vMerge w:val="restart"/>
            <w:hideMark/>
          </w:tcPr>
          <w:p w:rsidR="006E5C0B" w:rsidRPr="00F94CA1" w:rsidRDefault="006E5C0B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759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255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164"/>
        </w:trPr>
        <w:tc>
          <w:tcPr>
            <w:tcW w:w="14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vMerge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75" w:type="pct"/>
            <w:noWrap/>
            <w:hideMark/>
          </w:tcPr>
          <w:p w:rsidR="006E5C0B" w:rsidRPr="00F94CA1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136DBF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186"/>
        </w:trPr>
        <w:tc>
          <w:tcPr>
            <w:tcW w:w="141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75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1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396" w:type="pct"/>
            <w:noWrap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5" w:type="pct"/>
            <w:noWrap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AA6195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C0B" w:rsidRPr="00136DBF" w:rsidTr="006E5C0B">
        <w:trPr>
          <w:trHeight w:val="54"/>
        </w:trPr>
        <w:tc>
          <w:tcPr>
            <w:tcW w:w="141" w:type="pct"/>
            <w:noWrap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8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50" w:type="pct"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396" w:type="pct"/>
            <w:noWrap/>
            <w:hideMark/>
          </w:tcPr>
          <w:p w:rsidR="006E5C0B" w:rsidRPr="00136DBF" w:rsidRDefault="006E5C0B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pct"/>
            <w:noWrap/>
          </w:tcPr>
          <w:p w:rsidR="006E5C0B" w:rsidRPr="00136DBF" w:rsidRDefault="006E5C0B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hideMark/>
          </w:tcPr>
          <w:p w:rsidR="006E5C0B" w:rsidRPr="00136DBF" w:rsidRDefault="006E5C0B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305" w:type="pct"/>
            <w:noWrap/>
            <w:hideMark/>
          </w:tcPr>
          <w:p w:rsidR="006E5C0B" w:rsidRPr="00136DBF" w:rsidRDefault="006E5C0B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  <w:noWrap/>
            <w:hideMark/>
          </w:tcPr>
          <w:p w:rsidR="006E5C0B" w:rsidRPr="00AA6195" w:rsidRDefault="006E5C0B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" w:type="pct"/>
          </w:tcPr>
          <w:p w:rsidR="006E5C0B" w:rsidRPr="00AA6195" w:rsidRDefault="006E5C0B" w:rsidP="00693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hideMark/>
          </w:tcPr>
          <w:p w:rsidR="006E5C0B" w:rsidRPr="00136DBF" w:rsidRDefault="006E5C0B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>11.09.2018 № 835/9 «О реализации бюджетных инвестиций в объект капитального строительства 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432E62" w:rsidRP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D76292" w:rsidRPr="009B1176" w:rsidRDefault="00734A70" w:rsidP="00D7629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10.5.</w:t>
      </w:r>
      <w:r w:rsidRPr="00AC63F3">
        <w:rPr>
          <w:rFonts w:ascii="Times New Roman CYR" w:hAnsi="Times New Roman CYR" w:cs="Times New Roman CYR"/>
          <w:b/>
          <w:bCs/>
          <w:sz w:val="24"/>
          <w:szCs w:val="24"/>
        </w:rPr>
        <w:t xml:space="preserve">2. </w:t>
      </w:r>
      <w:r w:rsidR="00D76292" w:rsidRPr="00AC63F3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02.11 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2"/>
        <w:gridCol w:w="1204"/>
        <w:gridCol w:w="77"/>
        <w:gridCol w:w="1099"/>
        <w:gridCol w:w="120"/>
        <w:gridCol w:w="1155"/>
        <w:gridCol w:w="160"/>
        <w:gridCol w:w="774"/>
        <w:gridCol w:w="921"/>
        <w:gridCol w:w="918"/>
        <w:gridCol w:w="921"/>
        <w:gridCol w:w="1182"/>
        <w:gridCol w:w="976"/>
        <w:gridCol w:w="623"/>
        <w:gridCol w:w="651"/>
        <w:gridCol w:w="568"/>
        <w:gridCol w:w="568"/>
        <w:gridCol w:w="989"/>
        <w:gridCol w:w="958"/>
        <w:gridCol w:w="1087"/>
      </w:tblGrid>
      <w:tr w:rsidR="006E5C0B" w:rsidRPr="00D76292" w:rsidTr="00527CB7">
        <w:trPr>
          <w:trHeight w:val="67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>п/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муниципальног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образования/</w:t>
            </w:r>
          </w:p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Мощность/ прирост мощности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объекта строительства (кв.метр, погонный метр, место, койко-место и так далее)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Виды работ в соответствии с классификатор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 работ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Сроки проведени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работ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Открытие объекта/  завершен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 работ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Предельная стоимость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объекта строитель-ства                      (тыс. руб.)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Профинанси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ровано на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 (тыс. руб.)</w:t>
            </w:r>
          </w:p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 финансирова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</w:t>
            </w:r>
          </w:p>
        </w:tc>
        <w:tc>
          <w:tcPr>
            <w:tcW w:w="17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Финансирование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ввода в эксплуатацию(тыс. руб.)</w:t>
            </w:r>
          </w:p>
        </w:tc>
      </w:tr>
      <w:tr w:rsidR="006E5C0B" w:rsidRPr="00D76292" w:rsidTr="00527CB7">
        <w:trPr>
          <w:trHeight w:val="7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527C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C0B" w:rsidRPr="00D76292" w:rsidTr="006E5C0B">
        <w:trPr>
          <w:trHeight w:val="38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5C0B" w:rsidRPr="00D76292" w:rsidRDefault="006E5C0B" w:rsidP="006E5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E5C0B" w:rsidRPr="00D76292" w:rsidTr="006E5C0B">
        <w:trPr>
          <w:trHeight w:val="34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нового здания школы на 275 мест (МБОУ «Фрязевская школа № 41 имени Б.А. Воробьева») по адресу: Московская область, г.о. Электросталь, д. Степаново (ПИР и строительство)  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5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684 119,00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5C0B" w:rsidRPr="00D76292" w:rsidTr="006E5C0B">
        <w:trPr>
          <w:trHeight w:val="34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5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528 824,00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5C0B" w:rsidRPr="00D76292" w:rsidTr="006E5C0B">
        <w:trPr>
          <w:trHeight w:val="34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31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Default="006E5C0B" w:rsidP="006E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5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155 295,00</w:t>
            </w:r>
          </w:p>
          <w:p w:rsidR="006E5C0B" w:rsidRP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5C0B" w:rsidRPr="00D76292" w:rsidTr="006E5C0B">
        <w:trPr>
          <w:trHeight w:val="433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кроме того: строительный контроль</w:t>
            </w: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7E6F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747E6F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5C0B" w:rsidRPr="00D76292" w:rsidTr="006E5C0B">
        <w:trPr>
          <w:trHeight w:val="433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E5C0B" w:rsidRPr="00D76292" w:rsidTr="006E5C0B">
        <w:trPr>
          <w:trHeight w:val="27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мероприятию:</w:t>
            </w: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6E5C0B" w:rsidRPr="00D76292" w:rsidRDefault="006E5C0B" w:rsidP="00AC63F3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5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684 119,00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671 736,45</w:t>
            </w:r>
          </w:p>
        </w:tc>
      </w:tr>
      <w:tr w:rsidR="006E5C0B" w:rsidRPr="00D76292" w:rsidTr="006E5C0B">
        <w:trPr>
          <w:trHeight w:val="27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5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528 824,00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519 252,29</w:t>
            </w:r>
          </w:p>
        </w:tc>
      </w:tr>
      <w:tr w:rsidR="006E5C0B" w:rsidRPr="00D76292" w:rsidTr="006E5C0B">
        <w:trPr>
          <w:trHeight w:val="27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5C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155 295,00</w:t>
            </w:r>
          </w:p>
          <w:p w:rsidR="006E5C0B" w:rsidRPr="006E5C0B" w:rsidRDefault="006E5C0B" w:rsidP="0069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152 484,16</w:t>
            </w:r>
          </w:p>
        </w:tc>
      </w:tr>
      <w:tr w:rsidR="006E5C0B" w:rsidRPr="00D76292" w:rsidTr="006E5C0B">
        <w:trPr>
          <w:trHeight w:val="828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0B" w:rsidRPr="00D76292" w:rsidRDefault="006E5C0B" w:rsidP="00314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hAnsi="Times New Roman"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29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AC63F3" w:rsidRDefault="006E5C0B" w:rsidP="00AC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63F3">
              <w:rPr>
                <w:rFonts w:ascii="Times New Roman" w:eastAsia="Times New Roman" w:hAnsi="Times New Roman" w:cs="Times New Roman"/>
                <w:sz w:val="16"/>
                <w:szCs w:val="16"/>
              </w:rPr>
              <w:t>12 382,55</w:t>
            </w:r>
          </w:p>
        </w:tc>
      </w:tr>
      <w:tr w:rsidR="006E5C0B" w:rsidRPr="00D76292" w:rsidTr="006E5C0B">
        <w:trPr>
          <w:trHeight w:val="105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137628" w:rsidRDefault="006E5C0B" w:rsidP="00AC63F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C0B" w:rsidRPr="00D76292" w:rsidRDefault="006E5C0B" w:rsidP="00AC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62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Пристройка на 100 мест к зданию МОУ «СОШ № 22  с углубленным изучением отдельных предметов» по адресу: Московская область, г.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7E5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p w:rsidR="00AA4099" w:rsidRDefault="00AA4099" w:rsidP="00B91610">
      <w:pPr>
        <w:spacing w:after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</w:pPr>
    </w:p>
    <w:p w:rsidR="00B91610" w:rsidRPr="00180B99" w:rsidRDefault="005A53E7" w:rsidP="003771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</w:rPr>
        <w:t xml:space="preserve"> </w:t>
      </w:r>
      <w:bookmarkStart w:id="2" w:name="_GoBack"/>
      <w:bookmarkEnd w:id="2"/>
    </w:p>
    <w:p w:rsidR="006C39D8" w:rsidRPr="00136DBF" w:rsidRDefault="006C39D8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sectPr w:rsidR="006C39D8" w:rsidRPr="00136DBF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E2" w:rsidRDefault="00D21FE2" w:rsidP="00AB025A">
      <w:pPr>
        <w:spacing w:after="0" w:line="240" w:lineRule="auto"/>
      </w:pPr>
      <w:r>
        <w:separator/>
      </w:r>
    </w:p>
  </w:endnote>
  <w:endnote w:type="continuationSeparator" w:id="0">
    <w:p w:rsidR="00D21FE2" w:rsidRDefault="00D21FE2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E2" w:rsidRDefault="00D21FE2" w:rsidP="00AB025A">
      <w:pPr>
        <w:spacing w:after="0" w:line="240" w:lineRule="auto"/>
      </w:pPr>
      <w:r>
        <w:separator/>
      </w:r>
    </w:p>
  </w:footnote>
  <w:footnote w:type="continuationSeparator" w:id="0">
    <w:p w:rsidR="00D21FE2" w:rsidRDefault="00D21FE2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7D106C" w:rsidRDefault="00711E32">
        <w:pPr>
          <w:pStyle w:val="a4"/>
          <w:jc w:val="center"/>
        </w:pPr>
        <w:r>
          <w:rPr>
            <w:noProof/>
          </w:rPr>
          <w:fldChar w:fldCharType="begin"/>
        </w:r>
        <w:r w:rsidR="007D10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53E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D106C" w:rsidRDefault="007D10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5358"/>
    <w:rsid w:val="00007EF5"/>
    <w:rsid w:val="00010407"/>
    <w:rsid w:val="00012B15"/>
    <w:rsid w:val="00013623"/>
    <w:rsid w:val="000175D5"/>
    <w:rsid w:val="00017D81"/>
    <w:rsid w:val="000233CE"/>
    <w:rsid w:val="0002489A"/>
    <w:rsid w:val="00030560"/>
    <w:rsid w:val="00030D01"/>
    <w:rsid w:val="00031FAC"/>
    <w:rsid w:val="00035D6E"/>
    <w:rsid w:val="00045084"/>
    <w:rsid w:val="000533F5"/>
    <w:rsid w:val="00054595"/>
    <w:rsid w:val="00062184"/>
    <w:rsid w:val="00064959"/>
    <w:rsid w:val="00066F6D"/>
    <w:rsid w:val="00074918"/>
    <w:rsid w:val="00075EF7"/>
    <w:rsid w:val="00080712"/>
    <w:rsid w:val="000824B0"/>
    <w:rsid w:val="0008314C"/>
    <w:rsid w:val="00086F3A"/>
    <w:rsid w:val="00090121"/>
    <w:rsid w:val="00090ADE"/>
    <w:rsid w:val="00095287"/>
    <w:rsid w:val="000952C1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2E89"/>
    <w:rsid w:val="000F31ED"/>
    <w:rsid w:val="00101E79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859A6"/>
    <w:rsid w:val="0028633B"/>
    <w:rsid w:val="00294FF9"/>
    <w:rsid w:val="00297755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88A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192F"/>
    <w:rsid w:val="003135FC"/>
    <w:rsid w:val="00314812"/>
    <w:rsid w:val="0031497A"/>
    <w:rsid w:val="00322B44"/>
    <w:rsid w:val="00322F99"/>
    <w:rsid w:val="0032769D"/>
    <w:rsid w:val="00327F45"/>
    <w:rsid w:val="00330CBB"/>
    <w:rsid w:val="00331482"/>
    <w:rsid w:val="003450A2"/>
    <w:rsid w:val="00354069"/>
    <w:rsid w:val="003554D4"/>
    <w:rsid w:val="00355E3C"/>
    <w:rsid w:val="003563DF"/>
    <w:rsid w:val="00363159"/>
    <w:rsid w:val="00367139"/>
    <w:rsid w:val="00367ADD"/>
    <w:rsid w:val="0037072E"/>
    <w:rsid w:val="00370CA2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40BFC"/>
    <w:rsid w:val="00440F91"/>
    <w:rsid w:val="004464FF"/>
    <w:rsid w:val="00453087"/>
    <w:rsid w:val="004646AC"/>
    <w:rsid w:val="00467CBC"/>
    <w:rsid w:val="00470758"/>
    <w:rsid w:val="004707C2"/>
    <w:rsid w:val="00472259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3B2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203DC"/>
    <w:rsid w:val="00520BE3"/>
    <w:rsid w:val="00527CB7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1350"/>
    <w:rsid w:val="005A53E7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3187"/>
    <w:rsid w:val="005D6BE9"/>
    <w:rsid w:val="005D6C76"/>
    <w:rsid w:val="005E0B26"/>
    <w:rsid w:val="005E5759"/>
    <w:rsid w:val="005E7ABD"/>
    <w:rsid w:val="00601547"/>
    <w:rsid w:val="006067F4"/>
    <w:rsid w:val="006163EF"/>
    <w:rsid w:val="00621D9D"/>
    <w:rsid w:val="006262A7"/>
    <w:rsid w:val="006342EE"/>
    <w:rsid w:val="006345BD"/>
    <w:rsid w:val="00640B49"/>
    <w:rsid w:val="006444C4"/>
    <w:rsid w:val="00645896"/>
    <w:rsid w:val="0064643A"/>
    <w:rsid w:val="00651FD7"/>
    <w:rsid w:val="00654BB9"/>
    <w:rsid w:val="00657718"/>
    <w:rsid w:val="00661707"/>
    <w:rsid w:val="00670DFB"/>
    <w:rsid w:val="00680270"/>
    <w:rsid w:val="006830FD"/>
    <w:rsid w:val="00684515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E5C0B"/>
    <w:rsid w:val="006F0020"/>
    <w:rsid w:val="006F1E1F"/>
    <w:rsid w:val="006F5FFB"/>
    <w:rsid w:val="007001F0"/>
    <w:rsid w:val="007011DE"/>
    <w:rsid w:val="0070217C"/>
    <w:rsid w:val="00702F50"/>
    <w:rsid w:val="00703851"/>
    <w:rsid w:val="00704482"/>
    <w:rsid w:val="00711E32"/>
    <w:rsid w:val="00712E71"/>
    <w:rsid w:val="007137A8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47E6F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8BE"/>
    <w:rsid w:val="007D106C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3464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819A5"/>
    <w:rsid w:val="00882F8E"/>
    <w:rsid w:val="00883D02"/>
    <w:rsid w:val="00883DC1"/>
    <w:rsid w:val="00886E82"/>
    <w:rsid w:val="0089090F"/>
    <w:rsid w:val="00894B17"/>
    <w:rsid w:val="00895F2E"/>
    <w:rsid w:val="00896201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3444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C63F3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4C47"/>
    <w:rsid w:val="00B65723"/>
    <w:rsid w:val="00B66144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1FE2"/>
    <w:rsid w:val="00D24BEC"/>
    <w:rsid w:val="00D25D95"/>
    <w:rsid w:val="00D3040D"/>
    <w:rsid w:val="00D320F9"/>
    <w:rsid w:val="00D323E9"/>
    <w:rsid w:val="00D32CAA"/>
    <w:rsid w:val="00D45F95"/>
    <w:rsid w:val="00D46EA2"/>
    <w:rsid w:val="00D4770F"/>
    <w:rsid w:val="00D5037D"/>
    <w:rsid w:val="00D619F0"/>
    <w:rsid w:val="00D64717"/>
    <w:rsid w:val="00D679E1"/>
    <w:rsid w:val="00D70E95"/>
    <w:rsid w:val="00D73708"/>
    <w:rsid w:val="00D7543C"/>
    <w:rsid w:val="00D76292"/>
    <w:rsid w:val="00D77926"/>
    <w:rsid w:val="00D829D0"/>
    <w:rsid w:val="00D86434"/>
    <w:rsid w:val="00D866B3"/>
    <w:rsid w:val="00D867BA"/>
    <w:rsid w:val="00D87042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6805"/>
    <w:rsid w:val="00E06E70"/>
    <w:rsid w:val="00E11E89"/>
    <w:rsid w:val="00E16B1F"/>
    <w:rsid w:val="00E23923"/>
    <w:rsid w:val="00E24012"/>
    <w:rsid w:val="00E243D1"/>
    <w:rsid w:val="00E25E5E"/>
    <w:rsid w:val="00E4589E"/>
    <w:rsid w:val="00E45EE3"/>
    <w:rsid w:val="00E47DB7"/>
    <w:rsid w:val="00E51373"/>
    <w:rsid w:val="00E52A06"/>
    <w:rsid w:val="00E52BF1"/>
    <w:rsid w:val="00E54EBA"/>
    <w:rsid w:val="00E57993"/>
    <w:rsid w:val="00E62577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59BC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0936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E03"/>
    <w:rsid w:val="00F83EDB"/>
    <w:rsid w:val="00F85177"/>
    <w:rsid w:val="00F856DB"/>
    <w:rsid w:val="00F86B4E"/>
    <w:rsid w:val="00F90CDA"/>
    <w:rsid w:val="00F94CA1"/>
    <w:rsid w:val="00F9775F"/>
    <w:rsid w:val="00F977D0"/>
    <w:rsid w:val="00FA1044"/>
    <w:rsid w:val="00FA60BD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E491D9-A8BC-42AC-BDEA-13536DCF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7B62-2003-4370-96A2-DCB63C25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8436</Words>
  <Characters>48087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Мария Можина</cp:lastModifiedBy>
  <cp:revision>8</cp:revision>
  <cp:lastPrinted>2022-06-09T07:47:00Z</cp:lastPrinted>
  <dcterms:created xsi:type="dcterms:W3CDTF">2022-08-15T14:12:00Z</dcterms:created>
  <dcterms:modified xsi:type="dcterms:W3CDTF">2022-08-16T13:07:00Z</dcterms:modified>
</cp:coreProperties>
</file>