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33" w:rsidRPr="009E0D44" w:rsidRDefault="008B2433" w:rsidP="009E0D44">
      <w:pPr>
        <w:spacing w:after="0" w:line="240" w:lineRule="auto"/>
        <w:jc w:val="center"/>
        <w:rPr>
          <w:rFonts w:ascii="Times New Roman" w:eastAsia="Times New Roman" w:hAnsi="Times New Roman" w:cs="Arial"/>
          <w:sz w:val="28"/>
          <w:szCs w:val="28"/>
        </w:rPr>
      </w:pPr>
      <w:r w:rsidRPr="009E0D44">
        <w:rPr>
          <w:rFonts w:ascii="Times New Roman" w:eastAsia="Times New Roman" w:hAnsi="Times New Roman" w:cs="Arial"/>
          <w:noProof/>
          <w:sz w:val="28"/>
          <w:szCs w:val="28"/>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9E0D44" w:rsidRDefault="008B2433" w:rsidP="009E0D44">
      <w:pPr>
        <w:spacing w:after="0" w:line="240" w:lineRule="auto"/>
        <w:jc w:val="center"/>
        <w:rPr>
          <w:rFonts w:ascii="Times New Roman" w:eastAsia="Times New Roman" w:hAnsi="Times New Roman" w:cs="Arial"/>
          <w:sz w:val="28"/>
          <w:szCs w:val="28"/>
        </w:rPr>
      </w:pPr>
    </w:p>
    <w:p w:rsidR="008B2433" w:rsidRPr="009E0D44" w:rsidRDefault="009E0D44" w:rsidP="009E0D44">
      <w:pPr>
        <w:spacing w:after="0" w:line="240" w:lineRule="auto"/>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8B2433" w:rsidRPr="009E0D44">
        <w:rPr>
          <w:rFonts w:ascii="Times New Roman" w:eastAsia="Times New Roman" w:hAnsi="Times New Roman" w:cs="Arial"/>
          <w:sz w:val="28"/>
          <w:szCs w:val="28"/>
        </w:rPr>
        <w:t>ГОРОДСКОГО ОКРУГА ЭЛЕКТРОСТАЛЬ</w:t>
      </w:r>
    </w:p>
    <w:p w:rsidR="008B2433" w:rsidRPr="009E0D44" w:rsidRDefault="008B2433" w:rsidP="009E0D44">
      <w:pPr>
        <w:spacing w:after="0" w:line="240" w:lineRule="auto"/>
        <w:contextualSpacing/>
        <w:jc w:val="center"/>
        <w:rPr>
          <w:rFonts w:ascii="Times New Roman" w:eastAsia="Times New Roman" w:hAnsi="Times New Roman" w:cs="Arial"/>
          <w:sz w:val="28"/>
          <w:szCs w:val="28"/>
        </w:rPr>
      </w:pPr>
    </w:p>
    <w:p w:rsidR="008B2433" w:rsidRPr="009E0D44" w:rsidRDefault="009E0D44" w:rsidP="009E0D44">
      <w:pPr>
        <w:spacing w:after="0" w:line="240" w:lineRule="auto"/>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8B2433" w:rsidRPr="009E0D44">
        <w:rPr>
          <w:rFonts w:ascii="Times New Roman" w:eastAsia="Times New Roman" w:hAnsi="Times New Roman" w:cs="Arial"/>
          <w:sz w:val="28"/>
          <w:szCs w:val="28"/>
        </w:rPr>
        <w:t>ОБЛАСТИ</w:t>
      </w:r>
    </w:p>
    <w:p w:rsidR="008B2433" w:rsidRPr="009E0D44" w:rsidRDefault="008B2433" w:rsidP="009E0D44">
      <w:pPr>
        <w:spacing w:after="0" w:line="240" w:lineRule="auto"/>
        <w:contextualSpacing/>
        <w:jc w:val="center"/>
        <w:rPr>
          <w:rFonts w:ascii="Times New Roman" w:eastAsia="Times New Roman" w:hAnsi="Times New Roman" w:cs="Arial"/>
          <w:sz w:val="28"/>
          <w:szCs w:val="28"/>
        </w:rPr>
      </w:pPr>
    </w:p>
    <w:p w:rsidR="008B2433" w:rsidRPr="009E0D44" w:rsidRDefault="008B2433" w:rsidP="00C9565B">
      <w:pPr>
        <w:spacing w:after="0" w:line="240" w:lineRule="auto"/>
        <w:contextualSpacing/>
        <w:jc w:val="center"/>
        <w:rPr>
          <w:rFonts w:ascii="Times New Roman" w:eastAsia="Times New Roman" w:hAnsi="Times New Roman" w:cs="Arial"/>
          <w:sz w:val="44"/>
          <w:szCs w:val="44"/>
        </w:rPr>
      </w:pPr>
      <w:bookmarkStart w:id="0" w:name="_GoBack"/>
      <w:r w:rsidRPr="009E0D44">
        <w:rPr>
          <w:rFonts w:ascii="Times New Roman" w:eastAsia="Times New Roman" w:hAnsi="Times New Roman" w:cs="Arial"/>
          <w:sz w:val="44"/>
          <w:szCs w:val="44"/>
        </w:rPr>
        <w:t>ПОСТАНОВЛЕНИЕ</w:t>
      </w:r>
    </w:p>
    <w:p w:rsidR="008B2433" w:rsidRPr="009E0D44" w:rsidRDefault="008B2433" w:rsidP="00C9565B">
      <w:pPr>
        <w:spacing w:after="0" w:line="240" w:lineRule="auto"/>
        <w:jc w:val="center"/>
        <w:rPr>
          <w:rFonts w:ascii="Times New Roman" w:eastAsia="Times New Roman" w:hAnsi="Times New Roman" w:cs="Arial"/>
          <w:sz w:val="44"/>
          <w:szCs w:val="44"/>
        </w:rPr>
      </w:pPr>
    </w:p>
    <w:p w:rsidR="008B2433" w:rsidRDefault="00A8330A" w:rsidP="00C9565B">
      <w:pPr>
        <w:spacing w:after="0" w:line="240" w:lineRule="auto"/>
        <w:jc w:val="center"/>
        <w:outlineLvl w:val="0"/>
        <w:rPr>
          <w:rFonts w:ascii="Times New Roman" w:eastAsia="Times New Roman" w:hAnsi="Times New Roman" w:cs="Arial"/>
          <w:sz w:val="24"/>
          <w:szCs w:val="24"/>
        </w:rPr>
      </w:pPr>
      <w:r w:rsidRPr="009E0D44">
        <w:rPr>
          <w:rFonts w:ascii="Times New Roman" w:eastAsia="Times New Roman" w:hAnsi="Times New Roman" w:cs="Arial"/>
          <w:sz w:val="24"/>
          <w:szCs w:val="24"/>
        </w:rPr>
        <w:t>16.12.2019</w:t>
      </w:r>
      <w:r w:rsidR="008B2433" w:rsidRPr="00C85846">
        <w:rPr>
          <w:rFonts w:ascii="Times New Roman" w:eastAsia="Times New Roman" w:hAnsi="Times New Roman" w:cs="Arial"/>
          <w:sz w:val="24"/>
          <w:szCs w:val="24"/>
        </w:rPr>
        <w:t xml:space="preserve"> № </w:t>
      </w:r>
      <w:r w:rsidRPr="009E0D44">
        <w:rPr>
          <w:rFonts w:ascii="Times New Roman" w:eastAsia="Times New Roman" w:hAnsi="Times New Roman" w:cs="Arial"/>
          <w:sz w:val="24"/>
          <w:szCs w:val="24"/>
        </w:rPr>
        <w:t>958/12</w:t>
      </w:r>
    </w:p>
    <w:p w:rsidR="009E0D44" w:rsidRPr="00C85846" w:rsidRDefault="009E0D44" w:rsidP="00C9565B">
      <w:pPr>
        <w:spacing w:after="0" w:line="240" w:lineRule="auto"/>
        <w:jc w:val="center"/>
        <w:outlineLvl w:val="0"/>
        <w:rPr>
          <w:rFonts w:ascii="Times New Roman" w:eastAsia="Times New Roman" w:hAnsi="Times New Roman" w:cs="Arial"/>
          <w:sz w:val="24"/>
          <w:szCs w:val="24"/>
        </w:rPr>
      </w:pPr>
    </w:p>
    <w:p w:rsidR="008B2433" w:rsidRDefault="008B2433" w:rsidP="009E0D44">
      <w:pPr>
        <w:spacing w:after="0" w:line="240" w:lineRule="auto"/>
        <w:jc w:val="center"/>
        <w:outlineLvl w:val="0"/>
        <w:rPr>
          <w:rFonts w:ascii="Times New Roman" w:eastAsia="Times New Roman" w:hAnsi="Times New Roman" w:cs="Times New Roman"/>
          <w:bCs/>
          <w:sz w:val="24"/>
          <w:szCs w:val="24"/>
        </w:rPr>
      </w:pPr>
      <w:r w:rsidRPr="00C85846">
        <w:rPr>
          <w:rFonts w:ascii="Times New Roman" w:eastAsia="Times New Roman" w:hAnsi="Times New Roman" w:cs="Times New Roman"/>
          <w:bCs/>
          <w:sz w:val="24"/>
          <w:szCs w:val="24"/>
        </w:rPr>
        <w:t>Об утверждении муниципальной программы</w:t>
      </w:r>
      <w:r w:rsidR="009E0D44">
        <w:rPr>
          <w:rFonts w:ascii="Times New Roman" w:eastAsia="Times New Roman" w:hAnsi="Times New Roman" w:cs="Times New Roman"/>
          <w:bCs/>
          <w:sz w:val="24"/>
          <w:szCs w:val="24"/>
        </w:rPr>
        <w:t xml:space="preserve">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9F6BA5" w:rsidRPr="00C85846" w:rsidRDefault="009F6BA5"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8B2433" w:rsidRPr="00C85846" w:rsidRDefault="008B2433"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sidR="009F6BA5">
        <w:rPr>
          <w:rFonts w:ascii="Times New Roman" w:eastAsia="Times New Roman" w:hAnsi="Times New Roman" w:cs="Times New Roman"/>
          <w:sz w:val="24"/>
          <w:szCs w:val="24"/>
        </w:rPr>
        <w:t>нда в Московской области на 2020-2024</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в</w:t>
      </w:r>
      <w:r w:rsidRPr="00C85846">
        <w:rPr>
          <w:rFonts w:ascii="Times New Roman" w:eastAsia="Times New Roman" w:hAnsi="Times New Roman" w:cs="Times New Roman"/>
          <w:sz w:val="24"/>
          <w:szCs w:val="24"/>
        </w:rPr>
        <w:t xml:space="preserve"> связи с переходом с 2020 года на типовой бюджет муниципального образования Московской области,</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8B2433" w:rsidRPr="00C85846" w:rsidRDefault="008B2433" w:rsidP="00C9565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5846">
        <w:rPr>
          <w:rFonts w:ascii="Times New Roman" w:eastAsia="Times New Roman" w:hAnsi="Times New Roman" w:cs="Times New Roman"/>
          <w:sz w:val="24"/>
          <w:szCs w:val="24"/>
        </w:rPr>
        <w:t>1. Утвердить муниципальную программу 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w:t>
      </w:r>
      <w:r w:rsidR="00F944D4">
        <w:rPr>
          <w:rFonts w:ascii="Times New Roman" w:eastAsia="Times New Roman" w:hAnsi="Times New Roman" w:cs="Times New Roman"/>
          <w:bCs/>
          <w:sz w:val="24"/>
          <w:szCs w:val="24"/>
        </w:rPr>
        <w:t xml:space="preserve"> </w:t>
      </w:r>
      <w:proofErr w:type="gramStart"/>
      <w:r w:rsidR="00F944D4">
        <w:rPr>
          <w:rFonts w:ascii="Times New Roman" w:eastAsia="Times New Roman" w:hAnsi="Times New Roman" w:cs="Times New Roman"/>
          <w:bCs/>
          <w:sz w:val="24"/>
          <w:szCs w:val="24"/>
        </w:rPr>
        <w:t>фонда</w:t>
      </w:r>
      <w:r w:rsidRPr="00C85846">
        <w:rPr>
          <w:rFonts w:ascii="Times New Roman" w:eastAsia="Times New Roman" w:hAnsi="Times New Roman" w:cs="Times New Roman"/>
          <w:sz w:val="24"/>
          <w:szCs w:val="24"/>
        </w:rPr>
        <w:t>»(</w:t>
      </w:r>
      <w:proofErr w:type="gramEnd"/>
      <w:r w:rsidRPr="00C85846">
        <w:rPr>
          <w:rFonts w:ascii="Times New Roman" w:eastAsia="Times New Roman" w:hAnsi="Times New Roman" w:cs="Times New Roman"/>
          <w:sz w:val="24"/>
          <w:szCs w:val="24"/>
        </w:rPr>
        <w:t>прилагается).</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w:t>
      </w:r>
      <w:r w:rsidRPr="00C85846">
        <w:rPr>
          <w:rFonts w:ascii="Times New Roman" w:eastAsia="Times New Roman" w:hAnsi="Times New Roman" w:cs="Arial"/>
          <w:sz w:val="24"/>
          <w:szCs w:val="24"/>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C85846">
        <w:rPr>
          <w:rFonts w:ascii="Times New Roman" w:eastAsia="Times New Roman" w:hAnsi="Times New Roman" w:cs="Arial"/>
          <w:color w:val="000000" w:themeColor="text1"/>
          <w:sz w:val="24"/>
          <w:szCs w:val="24"/>
        </w:rPr>
        <w:t xml:space="preserve">: </w:t>
      </w:r>
      <w:hyperlink r:id="rId10" w:history="1">
        <w:r w:rsidRPr="00C85846">
          <w:rPr>
            <w:rFonts w:ascii="Times New Roman" w:eastAsia="Times New Roman" w:hAnsi="Times New Roman" w:cs="Arial"/>
            <w:color w:val="000000" w:themeColor="text1"/>
            <w:sz w:val="24"/>
            <w:szCs w:val="24"/>
          </w:rPr>
          <w:t>www.electrostal.ru</w:t>
        </w:r>
      </w:hyperlink>
      <w:r w:rsidRPr="00C85846">
        <w:rPr>
          <w:rFonts w:ascii="Times New Roman" w:eastAsia="Times New Roman" w:hAnsi="Times New Roman" w:cs="Arial"/>
          <w:color w:val="000000" w:themeColor="text1"/>
          <w:sz w:val="24"/>
          <w:szCs w:val="24"/>
        </w:rPr>
        <w:t>.</w:t>
      </w: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color w:val="000000" w:themeColor="text1"/>
          <w:sz w:val="24"/>
          <w:szCs w:val="24"/>
        </w:rPr>
        <w:t>3. </w:t>
      </w:r>
      <w:r w:rsidRPr="00C85846">
        <w:rPr>
          <w:rFonts w:ascii="Times New Roman" w:eastAsia="Times New Roman" w:hAnsi="Times New Roman" w:cs="Times New Roman"/>
          <w:color w:val="000000" w:themeColor="text1"/>
          <w:sz w:val="24"/>
          <w:szCs w:val="24"/>
        </w:rPr>
        <w:t>Настоящее постановление</w:t>
      </w:r>
      <w:r w:rsidRPr="00C85846">
        <w:rPr>
          <w:rFonts w:ascii="Times New Roman" w:eastAsia="Times New Roman" w:hAnsi="Times New Roman" w:cs="Times New Roman"/>
          <w:sz w:val="24"/>
          <w:szCs w:val="24"/>
        </w:rPr>
        <w:t xml:space="preserve"> вступает в силу с 01.01.2020 и применяется к правоотношениям, возникающим в связи </w:t>
      </w:r>
      <w:r w:rsidRPr="00C85846">
        <w:rPr>
          <w:rFonts w:ascii="Times New Roman" w:eastAsia="Times New Roman" w:hAnsi="Times New Roman" w:cs="Arial"/>
          <w:sz w:val="24"/>
          <w:szCs w:val="24"/>
        </w:rPr>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F944D4"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5</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В.А.</w:t>
      </w:r>
      <w:r>
        <w:rPr>
          <w:rFonts w:ascii="Times New Roman" w:eastAsia="Times New Roman" w:hAnsi="Times New Roman" w:cs="Times New Roman"/>
          <w:sz w:val="24"/>
          <w:szCs w:val="24"/>
        </w:rPr>
        <w:t> </w:t>
      </w:r>
      <w:r w:rsidRPr="00C85846">
        <w:rPr>
          <w:rFonts w:ascii="Times New Roman" w:eastAsia="Times New Roman" w:hAnsi="Times New Roman" w:cs="Times New Roman"/>
          <w:sz w:val="24"/>
          <w:szCs w:val="24"/>
        </w:rPr>
        <w:t>Денисов</w:t>
      </w:r>
      <w:r>
        <w:rPr>
          <w:rFonts w:ascii="Times New Roman" w:eastAsia="Times New Roman" w:hAnsi="Times New Roman" w:cs="Times New Roman"/>
          <w:sz w:val="24"/>
          <w:szCs w:val="24"/>
        </w:rPr>
        <w:t>а</w:t>
      </w:r>
      <w:r w:rsidRPr="00C85846">
        <w:rPr>
          <w:rFonts w:ascii="Times New Roman" w:eastAsia="Times New Roman" w:hAnsi="Times New Roman" w:cs="Times New Roman"/>
          <w:sz w:val="24"/>
          <w:szCs w:val="24"/>
        </w:rPr>
        <w:t>.</w:t>
      </w:r>
    </w:p>
    <w:p w:rsidR="008B2433" w:rsidRDefault="008B2433" w:rsidP="00C9565B">
      <w:pPr>
        <w:spacing w:after="0" w:line="240" w:lineRule="auto"/>
        <w:jc w:val="both"/>
        <w:rPr>
          <w:rFonts w:ascii="Times New Roman" w:eastAsia="Times New Roman" w:hAnsi="Times New Roman" w:cs="Times New Roman"/>
          <w:sz w:val="24"/>
          <w:szCs w:val="24"/>
        </w:rPr>
      </w:pPr>
    </w:p>
    <w:p w:rsidR="009E0D44" w:rsidRDefault="009E0D44" w:rsidP="00C9565B">
      <w:pPr>
        <w:spacing w:after="0" w:line="240" w:lineRule="auto"/>
        <w:jc w:val="both"/>
        <w:rPr>
          <w:rFonts w:ascii="Times New Roman" w:eastAsia="Times New Roman" w:hAnsi="Times New Roman" w:cs="Times New Roman"/>
          <w:sz w:val="24"/>
          <w:szCs w:val="24"/>
        </w:rPr>
      </w:pPr>
    </w:p>
    <w:p w:rsidR="008B2433" w:rsidRPr="00C85846" w:rsidRDefault="008B2433" w:rsidP="00C9565B">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t xml:space="preserve">                                     В.Я. Пекарев</w:t>
      </w:r>
    </w:p>
    <w:p w:rsidR="00B53AD7" w:rsidRPr="009E0D44" w:rsidRDefault="00B53AD7" w:rsidP="00C9565B">
      <w:pPr>
        <w:spacing w:after="0" w:line="240" w:lineRule="auto"/>
        <w:jc w:val="both"/>
        <w:rPr>
          <w:rFonts w:ascii="Times New Roman" w:eastAsia="Times New Roman" w:hAnsi="Times New Roman" w:cs="Arial"/>
          <w:sz w:val="24"/>
          <w:szCs w:val="24"/>
        </w:rPr>
      </w:pPr>
    </w:p>
    <w:p w:rsidR="00891AF6" w:rsidRDefault="00891AF6" w:rsidP="00C9565B">
      <w:pPr>
        <w:spacing w:after="0" w:line="240" w:lineRule="auto"/>
        <w:jc w:val="center"/>
        <w:sectPr w:rsidR="00891AF6" w:rsidSect="009E0D44">
          <w:headerReference w:type="first" r:id="rId11"/>
          <w:pgSz w:w="11906" w:h="16838" w:code="9"/>
          <w:pgMar w:top="1134" w:right="850" w:bottom="1134" w:left="1701" w:header="708" w:footer="708" w:gutter="0"/>
          <w:pgNumType w:start="1"/>
          <w:cols w:space="708"/>
          <w:docGrid w:linePitch="360"/>
        </w:sectPr>
      </w:pPr>
    </w:p>
    <w:p w:rsidR="00C9565B" w:rsidRDefault="00C9565B" w:rsidP="009E0D44">
      <w:pPr>
        <w:tabs>
          <w:tab w:val="left" w:pos="3675"/>
        </w:tabs>
        <w:spacing w:after="0" w:line="240" w:lineRule="auto"/>
        <w:ind w:firstLine="11907"/>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lastRenderedPageBreak/>
        <w:t>У</w:t>
      </w:r>
      <w:r>
        <w:rPr>
          <w:rFonts w:ascii="Times New Roman" w:eastAsia="Times New Roman" w:hAnsi="Times New Roman" w:cs="Times New Roman"/>
          <w:sz w:val="24"/>
          <w:szCs w:val="24"/>
        </w:rPr>
        <w:t>ТВЕРЖДЕНА</w:t>
      </w:r>
    </w:p>
    <w:p w:rsidR="00C9565B" w:rsidRDefault="009E0D44" w:rsidP="009E0D44">
      <w:pPr>
        <w:tabs>
          <w:tab w:val="left" w:pos="3675"/>
        </w:tabs>
        <w:spacing w:after="0" w:line="240" w:lineRule="auto"/>
        <w:ind w:firstLine="11907"/>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w:t>
      </w:r>
    </w:p>
    <w:p w:rsidR="00C9565B" w:rsidRDefault="00C9565B" w:rsidP="009E0D44">
      <w:pPr>
        <w:tabs>
          <w:tab w:val="left" w:pos="3675"/>
        </w:tabs>
        <w:spacing w:after="0" w:line="240" w:lineRule="auto"/>
        <w:ind w:firstLine="11907"/>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городского округа Электросталь</w:t>
      </w:r>
    </w:p>
    <w:p w:rsidR="00C9565B" w:rsidRPr="00374B98" w:rsidRDefault="00C9565B" w:rsidP="009E0D44">
      <w:pPr>
        <w:tabs>
          <w:tab w:val="left" w:pos="3675"/>
        </w:tabs>
        <w:spacing w:after="0" w:line="240" w:lineRule="auto"/>
        <w:ind w:firstLine="11907"/>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w:t>
      </w:r>
    </w:p>
    <w:p w:rsidR="00C9565B" w:rsidRPr="00374B98" w:rsidRDefault="009E0D44" w:rsidP="009E0D44">
      <w:pPr>
        <w:spacing w:after="0" w:line="240" w:lineRule="auto"/>
        <w:ind w:firstLine="11907"/>
        <w:rPr>
          <w:rFonts w:ascii="Times New Roman" w:eastAsia="Times New Roman" w:hAnsi="Times New Roman" w:cs="Times New Roman"/>
          <w:sz w:val="24"/>
          <w:szCs w:val="24"/>
        </w:rPr>
      </w:pPr>
      <w:r w:rsidRPr="009E0D44">
        <w:rPr>
          <w:rFonts w:ascii="Times New Roman" w:eastAsia="Times New Roman" w:hAnsi="Times New Roman" w:cs="Arial"/>
          <w:sz w:val="24"/>
          <w:szCs w:val="24"/>
        </w:rPr>
        <w:t>16.12.2019</w:t>
      </w:r>
      <w:r w:rsidRPr="00C85846">
        <w:rPr>
          <w:rFonts w:ascii="Times New Roman" w:eastAsia="Times New Roman" w:hAnsi="Times New Roman" w:cs="Arial"/>
          <w:sz w:val="24"/>
          <w:szCs w:val="24"/>
        </w:rPr>
        <w:t xml:space="preserve"> № </w:t>
      </w:r>
      <w:r w:rsidRPr="009E0D44">
        <w:rPr>
          <w:rFonts w:ascii="Times New Roman" w:eastAsia="Times New Roman" w:hAnsi="Times New Roman" w:cs="Arial"/>
          <w:sz w:val="24"/>
          <w:szCs w:val="24"/>
        </w:rPr>
        <w:t>958/12</w:t>
      </w: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9E0D44" w:rsidRDefault="009E0D44" w:rsidP="00C9565B">
      <w:pPr>
        <w:spacing w:after="0" w:line="240" w:lineRule="auto"/>
        <w:jc w:val="center"/>
      </w:pPr>
    </w:p>
    <w:p w:rsidR="009E0D44" w:rsidRDefault="009E0D44" w:rsidP="00C9565B">
      <w:pPr>
        <w:spacing w:after="0" w:line="240" w:lineRule="auto"/>
        <w:jc w:val="center"/>
      </w:pPr>
    </w:p>
    <w:p w:rsidR="009E0D44" w:rsidRDefault="009E0D44" w:rsidP="00C9565B">
      <w:pPr>
        <w:spacing w:after="0" w:line="240" w:lineRule="auto"/>
        <w:jc w:val="center"/>
      </w:pPr>
    </w:p>
    <w:p w:rsidR="009E0D44" w:rsidRDefault="009E0D44" w:rsidP="00C9565B">
      <w:pPr>
        <w:spacing w:after="0" w:line="240" w:lineRule="auto"/>
        <w:jc w:val="center"/>
      </w:pPr>
    </w:p>
    <w:p w:rsidR="009E0D44" w:rsidRDefault="009E0D44" w:rsidP="00C9565B">
      <w:pPr>
        <w:spacing w:after="0" w:line="240" w:lineRule="auto"/>
        <w:jc w:val="center"/>
      </w:pPr>
    </w:p>
    <w:p w:rsidR="009E0D44" w:rsidRDefault="009E0D44"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C9565B">
              <w:rPr>
                <w:rFonts w:ascii="Times New Roman" w:eastAsia="Times New Roman" w:hAnsi="Times New Roman" w:cs="Times New Roman"/>
                <w:sz w:val="24"/>
                <w:szCs w:val="24"/>
              </w:rPr>
              <w:t>энергоэффективных</w:t>
            </w:r>
            <w:proofErr w:type="spellEnd"/>
            <w:r w:rsidRPr="00C9565B">
              <w:rPr>
                <w:rFonts w:ascii="Times New Roman" w:eastAsia="Times New Roman" w:hAnsi="Times New Roman" w:cs="Times New Roman"/>
                <w:sz w:val="24"/>
                <w:szCs w:val="24"/>
              </w:rPr>
              <w:t xml:space="preserve">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C9565B">
              <w:rPr>
                <w:rFonts w:ascii="Times New Roman" w:eastAsia="Calibri" w:hAnsi="Times New Roman" w:cs="Times New Roman"/>
                <w:sz w:val="24"/>
                <w:szCs w:val="24"/>
                <w:lang w:eastAsia="en-US"/>
              </w:rPr>
              <w:t>энергоэффективности</w:t>
            </w:r>
            <w:proofErr w:type="spellEnd"/>
            <w:r w:rsidRPr="00C9565B">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городского </w:t>
            </w:r>
            <w:proofErr w:type="gramStart"/>
            <w:r w:rsidRPr="00C9565B">
              <w:rPr>
                <w:rFonts w:ascii="Times New Roman" w:eastAsia="Times New Roman" w:hAnsi="Times New Roman" w:cs="Times New Roman"/>
                <w:sz w:val="24"/>
                <w:szCs w:val="24"/>
              </w:rPr>
              <w:t>округа  Электросталь</w:t>
            </w:r>
            <w:proofErr w:type="gramEnd"/>
            <w:r w:rsidRPr="00C9565B">
              <w:rPr>
                <w:rFonts w:ascii="Times New Roman" w:eastAsia="Times New Roman" w:hAnsi="Times New Roman" w:cs="Times New Roman"/>
                <w:sz w:val="24"/>
                <w:szCs w:val="24"/>
              </w:rPr>
              <w:t xml:space="preserve"> Московской области</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Times New Roman" w:hAnsi="Times New Roman" w:cs="Times New Roman"/>
                <w:sz w:val="24"/>
                <w:szCs w:val="24"/>
                <w:lang w:eastAsia="en-US"/>
              </w:rPr>
              <w:t xml:space="preserve">2 083,45 </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2 083,45 </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Московской области</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highlight w:val="yellow"/>
                <w:lang w:eastAsia="en-US"/>
              </w:rPr>
            </w:pPr>
            <w:r w:rsidRPr="00C9565B">
              <w:rPr>
                <w:rFonts w:ascii="Times New Roman" w:eastAsia="Calibri" w:hAnsi="Times New Roman" w:cs="Times New Roman"/>
                <w:color w:val="000000"/>
                <w:sz w:val="24"/>
                <w:szCs w:val="24"/>
                <w:lang w:eastAsia="en-US"/>
              </w:rPr>
              <w:t xml:space="preserve">8 079,71   </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965,68</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7 114,03 </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30 489,48</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color w:val="000000"/>
                <w:sz w:val="24"/>
                <w:szCs w:val="24"/>
                <w:lang w:eastAsia="en-US"/>
              </w:rPr>
              <w:t>30 489,48</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422E7C" w:rsidRPr="00C9565B" w:rsidTr="00422E7C">
        <w:trPr>
          <w:trHeight w:val="54"/>
        </w:trPr>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 xml:space="preserve">0,00 </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422E7C" w:rsidRPr="00C9565B" w:rsidTr="00422E7C">
        <w:tc>
          <w:tcPr>
            <w:tcW w:w="3148" w:type="dxa"/>
          </w:tcPr>
          <w:p w:rsidR="00422E7C" w:rsidRPr="00C9565B"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Всего, в том числе по </w:t>
            </w:r>
            <w:r w:rsidRPr="00C9565B">
              <w:rPr>
                <w:rFonts w:ascii="Times New Roman" w:eastAsia="Times New Roman" w:hAnsi="Times New Roman" w:cs="Times New Roman"/>
                <w:sz w:val="24"/>
                <w:szCs w:val="24"/>
              </w:rPr>
              <w:lastRenderedPageBreak/>
              <w:t>годам:</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lastRenderedPageBreak/>
              <w:t>40 652,64</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422E7C" w:rsidRPr="00C9565B" w:rsidRDefault="00422E7C"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965,68</w:t>
            </w:r>
          </w:p>
        </w:tc>
        <w:tc>
          <w:tcPr>
            <w:tcW w:w="2381" w:type="dxa"/>
            <w:shd w:val="clear" w:color="auto" w:fill="auto"/>
          </w:tcPr>
          <w:p w:rsidR="00422E7C" w:rsidRPr="00C9565B" w:rsidRDefault="00422E7C" w:rsidP="007E41AE">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color w:val="000000"/>
                <w:sz w:val="24"/>
                <w:szCs w:val="24"/>
                <w:lang w:eastAsia="en-US"/>
              </w:rPr>
              <w:t>39 </w:t>
            </w:r>
            <w:r w:rsidR="007E41AE">
              <w:rPr>
                <w:rFonts w:ascii="Times New Roman" w:eastAsia="Calibri" w:hAnsi="Times New Roman" w:cs="Times New Roman"/>
                <w:color w:val="000000"/>
                <w:sz w:val="24"/>
                <w:szCs w:val="24"/>
                <w:lang w:eastAsia="en-US"/>
              </w:rPr>
              <w:t>686</w:t>
            </w:r>
            <w:r w:rsidRPr="00C9565B">
              <w:rPr>
                <w:rFonts w:ascii="Times New Roman" w:eastAsia="Calibri" w:hAnsi="Times New Roman" w:cs="Times New Roman"/>
                <w:color w:val="000000"/>
                <w:sz w:val="24"/>
                <w:szCs w:val="24"/>
                <w:lang w:eastAsia="en-US"/>
              </w:rPr>
              <w:t>,9</w:t>
            </w:r>
            <w:r w:rsidR="007E41AE">
              <w:rPr>
                <w:rFonts w:ascii="Times New Roman" w:eastAsia="Calibri" w:hAnsi="Times New Roman" w:cs="Times New Roman"/>
                <w:color w:val="000000"/>
                <w:sz w:val="24"/>
                <w:szCs w:val="24"/>
                <w:lang w:eastAsia="en-US"/>
              </w:rPr>
              <w:t>6</w:t>
            </w:r>
          </w:p>
        </w:tc>
        <w:tc>
          <w:tcPr>
            <w:tcW w:w="2835" w:type="dxa"/>
            <w:shd w:val="clear" w:color="auto" w:fill="auto"/>
          </w:tcPr>
          <w:p w:rsidR="00422E7C" w:rsidRPr="00C9565B" w:rsidRDefault="00422E7C"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w:t>
      </w:r>
      <w:proofErr w:type="spellStart"/>
      <w:r w:rsidRPr="00B53AD7">
        <w:rPr>
          <w:rFonts w:ascii="Times New Roman" w:eastAsia="Times New Roman" w:hAnsi="Times New Roman" w:cs="Times New Roman"/>
          <w:sz w:val="24"/>
          <w:szCs w:val="24"/>
          <w:lang w:eastAsia="en-US"/>
        </w:rPr>
        <w:t>вгородском</w:t>
      </w:r>
      <w:proofErr w:type="spellEnd"/>
      <w:r w:rsidRPr="00B53AD7">
        <w:rPr>
          <w:rFonts w:ascii="Times New Roman" w:eastAsia="Times New Roman" w:hAnsi="Times New Roman" w:cs="Times New Roman"/>
          <w:sz w:val="24"/>
          <w:szCs w:val="24"/>
          <w:lang w:eastAsia="en-US"/>
        </w:rPr>
        <w:t xml:space="preserve"> округе, признанного таковым до 01.01.2017 –2 639,9кв.м.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B53AD7">
        <w:rPr>
          <w:rFonts w:ascii="Times New Roman" w:eastAsia="Calibri" w:hAnsi="Times New Roman" w:cs="Times New Roman"/>
          <w:sz w:val="24"/>
          <w:szCs w:val="24"/>
          <w:lang w:eastAsia="en-US"/>
        </w:rPr>
        <w:t>энергоэффективности</w:t>
      </w:r>
      <w:proofErr w:type="spellEnd"/>
      <w:r w:rsidRPr="00B53AD7">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w:t>
      </w:r>
      <w:proofErr w:type="gramStart"/>
      <w:r w:rsidRPr="00B53AD7">
        <w:rPr>
          <w:rFonts w:ascii="Times New Roman" w:eastAsia="Times New Roman" w:hAnsi="Times New Roman" w:cs="Times New Roman"/>
          <w:sz w:val="24"/>
          <w:szCs w:val="24"/>
          <w:lang w:eastAsia="en-US"/>
        </w:rPr>
        <w:t>программа  определяет</w:t>
      </w:r>
      <w:proofErr w:type="gramEnd"/>
      <w:r w:rsidRPr="00B53AD7">
        <w:rPr>
          <w:rFonts w:ascii="Times New Roman" w:eastAsia="Times New Roman" w:hAnsi="Times New Roman" w:cs="Times New Roman"/>
          <w:sz w:val="24"/>
          <w:szCs w:val="24"/>
          <w:lang w:eastAsia="en-US"/>
        </w:rPr>
        <w:t xml:space="preserve">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B53AD7">
        <w:rPr>
          <w:rFonts w:ascii="Times New Roman" w:eastAsia="Times New Roman" w:hAnsi="Times New Roman" w:cs="Times New Roman"/>
          <w:sz w:val="24"/>
          <w:szCs w:val="24"/>
        </w:rPr>
        <w:t>энергоэффективных</w:t>
      </w:r>
      <w:proofErr w:type="spellEnd"/>
      <w:r w:rsidRPr="00B53AD7">
        <w:rPr>
          <w:rFonts w:ascii="Times New Roman" w:eastAsia="Times New Roman" w:hAnsi="Times New Roman" w:cs="Times New Roman"/>
          <w:sz w:val="24"/>
          <w:szCs w:val="24"/>
        </w:rPr>
        <w:t xml:space="preserve">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B53AD7">
        <w:rPr>
          <w:rFonts w:ascii="Times New Roman" w:eastAsia="Times New Roman" w:hAnsi="Times New Roman" w:cs="Times New Roman"/>
          <w:sz w:val="24"/>
          <w:szCs w:val="24"/>
          <w:lang w:eastAsia="en-US"/>
        </w:rPr>
        <w:t>энергоэффективности</w:t>
      </w:r>
      <w:proofErr w:type="spellEnd"/>
      <w:r w:rsidRPr="00B53AD7">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40 652 640,00 </w:t>
      </w:r>
      <w:proofErr w:type="gramStart"/>
      <w:r w:rsidRPr="00B53AD7">
        <w:rPr>
          <w:rFonts w:ascii="Times New Roman" w:eastAsia="Times New Roman" w:hAnsi="Times New Roman" w:cs="Times New Roman"/>
          <w:sz w:val="24"/>
          <w:szCs w:val="24"/>
          <w:lang w:eastAsia="en-US"/>
        </w:rPr>
        <w:t xml:space="preserve">рублей,   </w:t>
      </w:r>
      <w:proofErr w:type="gramEnd"/>
      <w:r w:rsidRPr="00B53AD7">
        <w:rPr>
          <w:rFonts w:ascii="Times New Roman" w:eastAsia="Times New Roman" w:hAnsi="Times New Roman" w:cs="Times New Roman"/>
          <w:sz w:val="24"/>
          <w:szCs w:val="24"/>
          <w:lang w:eastAsia="en-US"/>
        </w:rPr>
        <w:t xml:space="preserve">                             в том числе:</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30 489 480,00 рублей - средства Фонда; </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8 079 712,20 рублей - средства бюджета Московской области;</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B53AD7">
        <w:rPr>
          <w:rFonts w:ascii="Times New Roman" w:eastAsia="Times New Roman" w:hAnsi="Times New Roman" w:cs="Times New Roman"/>
          <w:sz w:val="24"/>
          <w:szCs w:val="24"/>
          <w:lang w:eastAsia="en-US"/>
        </w:rPr>
        <w:t>пр</w:t>
      </w:r>
      <w:proofErr w:type="spellEnd"/>
      <w:r w:rsidRPr="00B53AD7">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w:t>
      </w:r>
      <w:proofErr w:type="spellStart"/>
      <w:proofErr w:type="gramStart"/>
      <w:r w:rsidRPr="00B53AD7">
        <w:rPr>
          <w:rFonts w:ascii="Times New Roman" w:eastAsia="Times New Roman" w:hAnsi="Times New Roman" w:cs="Times New Roman"/>
          <w:sz w:val="24"/>
          <w:szCs w:val="24"/>
          <w:lang w:eastAsia="en-US"/>
        </w:rPr>
        <w:t>года»и</w:t>
      </w:r>
      <w:proofErr w:type="spellEnd"/>
      <w:proofErr w:type="gramEnd"/>
      <w:r w:rsidRPr="00B53AD7">
        <w:rPr>
          <w:rFonts w:ascii="Times New Roman" w:eastAsia="Times New Roman" w:hAnsi="Times New Roman" w:cs="Times New Roman"/>
          <w:sz w:val="24"/>
          <w:szCs w:val="24"/>
          <w:lang w:eastAsia="en-US"/>
        </w:rPr>
        <w:t xml:space="preserve">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w:t>
      </w:r>
      <w:proofErr w:type="spellStart"/>
      <w:r w:rsidRPr="00B53AD7">
        <w:rPr>
          <w:rFonts w:ascii="Times New Roman" w:eastAsia="Times New Roman" w:hAnsi="Times New Roman" w:cs="Times New Roman"/>
          <w:sz w:val="24"/>
          <w:szCs w:val="24"/>
          <w:lang w:eastAsia="en-US"/>
        </w:rPr>
        <w:t>предоставлятьсяпо</w:t>
      </w:r>
      <w:proofErr w:type="spellEnd"/>
      <w:r w:rsidRPr="00B53AD7">
        <w:rPr>
          <w:rFonts w:ascii="Times New Roman" w:eastAsia="Times New Roman" w:hAnsi="Times New Roman" w:cs="Times New Roman"/>
          <w:sz w:val="24"/>
          <w:szCs w:val="24"/>
          <w:lang w:eastAsia="en-US"/>
        </w:rPr>
        <w:t xml:space="preserve"> договору социального найма по норме предоставления, установленной муниципальными образованиями Московской </w:t>
      </w:r>
      <w:proofErr w:type="spellStart"/>
      <w:r w:rsidRPr="00B53AD7">
        <w:rPr>
          <w:rFonts w:ascii="Times New Roman" w:eastAsia="Times New Roman" w:hAnsi="Times New Roman" w:cs="Times New Roman"/>
          <w:sz w:val="24"/>
          <w:szCs w:val="24"/>
          <w:lang w:eastAsia="en-US"/>
        </w:rPr>
        <w:t>области.В</w:t>
      </w:r>
      <w:proofErr w:type="spellEnd"/>
      <w:r w:rsidRPr="00B53AD7">
        <w:rPr>
          <w:rFonts w:ascii="Times New Roman" w:eastAsia="Times New Roman" w:hAnsi="Times New Roman" w:cs="Times New Roman"/>
          <w:sz w:val="24"/>
          <w:szCs w:val="24"/>
          <w:lang w:eastAsia="en-US"/>
        </w:rPr>
        <w:t xml:space="preserve"> случае отсутствия подходящего по площади жилого помещения в связи с проектным решением, общая площадь жилого помещения может </w:t>
      </w:r>
      <w:proofErr w:type="spellStart"/>
      <w:r w:rsidRPr="00B53AD7">
        <w:rPr>
          <w:rFonts w:ascii="Times New Roman" w:eastAsia="Times New Roman" w:hAnsi="Times New Roman" w:cs="Times New Roman"/>
          <w:sz w:val="24"/>
          <w:szCs w:val="24"/>
          <w:lang w:eastAsia="en-US"/>
        </w:rPr>
        <w:t>отличатьсяот</w:t>
      </w:r>
      <w:proofErr w:type="spellEnd"/>
      <w:r w:rsidRPr="00B53AD7">
        <w:rPr>
          <w:rFonts w:ascii="Times New Roman" w:eastAsia="Times New Roman" w:hAnsi="Times New Roman" w:cs="Times New Roman"/>
          <w:sz w:val="24"/>
          <w:szCs w:val="24"/>
          <w:lang w:eastAsia="en-US"/>
        </w:rPr>
        <w:t xml:space="preserve">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Сбор и обобщение информации о сносе жилых домов, не подлежащих капитальному ремонту или </w:t>
      </w:r>
      <w:proofErr w:type="gramStart"/>
      <w:r w:rsidRPr="00B53AD7">
        <w:rPr>
          <w:rFonts w:ascii="Times New Roman" w:eastAsia="Times New Roman" w:hAnsi="Times New Roman" w:cs="Times New Roman"/>
          <w:sz w:val="24"/>
          <w:szCs w:val="24"/>
          <w:lang w:eastAsia="en-US"/>
        </w:rPr>
        <w:t xml:space="preserve">реконструкции,   </w:t>
      </w:r>
      <w:proofErr w:type="gramEnd"/>
      <w:r w:rsidRPr="00B53AD7">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51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47"/>
        <w:gridCol w:w="13599"/>
      </w:tblGrid>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35"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218"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218"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F36FF7">
        <w:trPr>
          <w:trHeight w:val="278"/>
        </w:trPr>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2</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218"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155DF2">
              <w:rPr>
                <w:rFonts w:ascii="Times New Roman" w:eastAsia="Times New Roman" w:hAnsi="Times New Roman" w:cs="Times New Roman"/>
                <w:sz w:val="20"/>
                <w:szCs w:val="20"/>
                <w:lang w:eastAsia="en-US"/>
              </w:rPr>
              <w:t>SIPпанелей</w:t>
            </w:r>
            <w:proofErr w:type="spellEnd"/>
            <w:r w:rsidRPr="00155DF2">
              <w:rPr>
                <w:rFonts w:ascii="Times New Roman" w:eastAsia="Times New Roman" w:hAnsi="Times New Roman" w:cs="Times New Roman"/>
                <w:sz w:val="20"/>
                <w:szCs w:val="20"/>
                <w:lang w:eastAsia="en-US"/>
              </w:rPr>
              <w:t>,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сетям инженерно-технического обеспечения по выданным соответствующими </w:t>
            </w:r>
            <w:proofErr w:type="spellStart"/>
            <w:r w:rsidRPr="00155DF2">
              <w:rPr>
                <w:rFonts w:ascii="Times New Roman" w:eastAsia="Times New Roman" w:hAnsi="Times New Roman" w:cs="Times New Roman"/>
                <w:sz w:val="20"/>
                <w:szCs w:val="20"/>
                <w:lang w:eastAsia="en-US"/>
              </w:rPr>
              <w:t>ресурсоснабжающими</w:t>
            </w:r>
            <w:proofErr w:type="spellEnd"/>
            <w:r w:rsidRPr="00155DF2">
              <w:rPr>
                <w:rFonts w:ascii="Times New Roman" w:eastAsia="Times New Roman" w:hAnsi="Times New Roman" w:cs="Times New Roman"/>
                <w:sz w:val="20"/>
                <w:szCs w:val="20"/>
                <w:lang w:eastAsia="en-US"/>
              </w:rPr>
              <w:t xml:space="preserve">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55DF2">
              <w:rPr>
                <w:rFonts w:ascii="Times New Roman" w:eastAsia="Times New Roman" w:hAnsi="Times New Roman" w:cs="Times New Roman"/>
                <w:sz w:val="20"/>
                <w:szCs w:val="20"/>
                <w:lang w:eastAsia="en-US"/>
              </w:rPr>
              <w:t>легкосбрасываемых</w:t>
            </w:r>
            <w:proofErr w:type="spellEnd"/>
            <w:r w:rsidRPr="00155DF2">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w:t>
            </w:r>
            <w:proofErr w:type="spellStart"/>
            <w:r w:rsidRPr="00155DF2">
              <w:rPr>
                <w:rFonts w:ascii="Times New Roman" w:eastAsia="Times New Roman" w:hAnsi="Times New Roman" w:cs="Times New Roman"/>
                <w:sz w:val="20"/>
                <w:szCs w:val="20"/>
                <w:lang w:eastAsia="en-US"/>
              </w:rPr>
              <w:t>мусороудаления</w:t>
            </w:r>
            <w:proofErr w:type="spellEnd"/>
            <w:r w:rsidRPr="00155DF2">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155DF2">
              <w:rPr>
                <w:rFonts w:ascii="Times New Roman" w:eastAsia="Times New Roman" w:hAnsi="Times New Roman" w:cs="Times New Roman"/>
                <w:sz w:val="20"/>
                <w:szCs w:val="20"/>
                <w:lang w:eastAsia="en-US"/>
              </w:rPr>
              <w:t>ресурсоснабжающими</w:t>
            </w:r>
            <w:proofErr w:type="spellEnd"/>
            <w:r w:rsidRPr="00155DF2">
              <w:rPr>
                <w:rFonts w:ascii="Times New Roman" w:eastAsia="Times New Roman" w:hAnsi="Times New Roman" w:cs="Times New Roman"/>
                <w:sz w:val="20"/>
                <w:szCs w:val="20"/>
                <w:lang w:eastAsia="en-US"/>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оконных блоков со стеклопакетом класса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в </w:t>
            </w:r>
            <w:proofErr w:type="gramStart"/>
            <w:r w:rsidRPr="00155DF2">
              <w:rPr>
                <w:rFonts w:ascii="Times New Roman" w:eastAsia="Times New Roman" w:hAnsi="Times New Roman" w:cs="Times New Roman"/>
                <w:sz w:val="20"/>
                <w:szCs w:val="20"/>
                <w:lang w:eastAsia="en-US"/>
              </w:rPr>
              <w:t>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w:t>
            </w:r>
            <w:proofErr w:type="gramEnd"/>
            <w:r w:rsidRPr="00155DF2">
              <w:rPr>
                <w:rFonts w:ascii="Times New Roman" w:eastAsia="Times New Roman" w:hAnsi="Times New Roman" w:cs="Times New Roman"/>
                <w:sz w:val="20"/>
                <w:szCs w:val="20"/>
                <w:lang w:eastAsia="en-US"/>
              </w:rPr>
              <w:t xml:space="preserve"> классом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w:t>
            </w:r>
            <w:proofErr w:type="gramStart"/>
            <w:r w:rsidRPr="00155DF2">
              <w:rPr>
                <w:rFonts w:ascii="Times New Roman" w:eastAsia="Times New Roman" w:hAnsi="Times New Roman" w:cs="Times New Roman"/>
                <w:sz w:val="20"/>
                <w:szCs w:val="20"/>
                <w:lang w:eastAsia="en-US"/>
              </w:rPr>
              <w:t>движения  и</w:t>
            </w:r>
            <w:proofErr w:type="gramEnd"/>
            <w:r w:rsidRPr="00155DF2">
              <w:rPr>
                <w:rFonts w:ascii="Times New Roman" w:eastAsia="Times New Roman" w:hAnsi="Times New Roman" w:cs="Times New Roman"/>
                <w:sz w:val="20"/>
                <w:szCs w:val="20"/>
                <w:lang w:eastAsia="en-US"/>
              </w:rPr>
              <w:t xml:space="preserve">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155DF2">
              <w:rPr>
                <w:rFonts w:ascii="Times New Roman" w:eastAsia="Times New Roman" w:hAnsi="Times New Roman" w:cs="Times New Roman"/>
                <w:sz w:val="20"/>
                <w:szCs w:val="20"/>
                <w:lang w:eastAsia="en-US"/>
              </w:rPr>
              <w:t>светильников  в</w:t>
            </w:r>
            <w:proofErr w:type="gramEnd"/>
            <w:r w:rsidRPr="00155DF2">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155DF2">
              <w:rPr>
                <w:rFonts w:ascii="Times New Roman" w:eastAsia="Times New Roman" w:hAnsi="Times New Roman" w:cs="Times New Roman"/>
                <w:sz w:val="20"/>
                <w:szCs w:val="20"/>
                <w:lang w:eastAsia="en-US"/>
              </w:rPr>
              <w:t>автодоводчиком</w:t>
            </w:r>
            <w:proofErr w:type="spellEnd"/>
            <w:r w:rsidRPr="00155DF2">
              <w:rPr>
                <w:rFonts w:ascii="Times New Roman" w:eastAsia="Times New Roman" w:hAnsi="Times New Roman" w:cs="Times New Roman"/>
                <w:sz w:val="20"/>
                <w:szCs w:val="20"/>
                <w:lang w:eastAsia="en-US"/>
              </w:rPr>
              <w:t>;</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w:t>
            </w:r>
            <w:proofErr w:type="gramStart"/>
            <w:r w:rsidRPr="00155DF2">
              <w:rPr>
                <w:rFonts w:ascii="Times New Roman" w:eastAsia="Times New Roman" w:hAnsi="Times New Roman" w:cs="Times New Roman"/>
                <w:sz w:val="20"/>
                <w:szCs w:val="20"/>
                <w:lang w:eastAsia="en-US"/>
              </w:rPr>
              <w:t>блоков  с</w:t>
            </w:r>
            <w:proofErr w:type="gramEnd"/>
            <w:r w:rsidRPr="00155DF2">
              <w:rPr>
                <w:rFonts w:ascii="Times New Roman" w:eastAsia="Times New Roman" w:hAnsi="Times New Roman" w:cs="Times New Roman"/>
                <w:sz w:val="20"/>
                <w:szCs w:val="20"/>
                <w:lang w:eastAsia="en-US"/>
              </w:rPr>
              <w:t xml:space="preserve"> замком, ручками и </w:t>
            </w:r>
            <w:proofErr w:type="spellStart"/>
            <w:r w:rsidRPr="00155DF2">
              <w:rPr>
                <w:rFonts w:ascii="Times New Roman" w:eastAsia="Times New Roman" w:hAnsi="Times New Roman" w:cs="Times New Roman"/>
                <w:sz w:val="20"/>
                <w:szCs w:val="20"/>
                <w:lang w:eastAsia="en-US"/>
              </w:rPr>
              <w:t>автодоводчиком</w:t>
            </w:r>
            <w:proofErr w:type="spellEnd"/>
            <w:r w:rsidRPr="00155DF2">
              <w:rPr>
                <w:rFonts w:ascii="Times New Roman" w:eastAsia="Times New Roman" w:hAnsi="Times New Roman" w:cs="Times New Roman"/>
                <w:sz w:val="20"/>
                <w:szCs w:val="20"/>
                <w:lang w:eastAsia="en-US"/>
              </w:rPr>
              <w:t>;</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proofErr w:type="spellStart"/>
            <w:r w:rsidRPr="00155DF2">
              <w:rPr>
                <w:rFonts w:ascii="Times New Roman" w:eastAsia="Times New Roman" w:hAnsi="Times New Roman" w:cs="Times New Roman"/>
                <w:sz w:val="20"/>
                <w:szCs w:val="20"/>
                <w:lang w:eastAsia="en-US"/>
              </w:rPr>
              <w:t>отмостки</w:t>
            </w:r>
            <w:proofErr w:type="spellEnd"/>
            <w:r w:rsidRPr="00155DF2">
              <w:rPr>
                <w:rFonts w:ascii="Times New Roman" w:eastAsia="Times New Roman" w:hAnsi="Times New Roman" w:cs="Times New Roman"/>
                <w:sz w:val="20"/>
                <w:szCs w:val="20"/>
                <w:lang w:eastAsia="en-US"/>
              </w:rPr>
              <w:t xml:space="preserve">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3</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155DF2">
              <w:rPr>
                <w:rFonts w:ascii="Times New Roman" w:eastAsia="Times New Roman" w:hAnsi="Times New Roman" w:cs="Times New Roman"/>
                <w:sz w:val="20"/>
                <w:szCs w:val="20"/>
                <w:lang w:eastAsia="en-US"/>
              </w:rPr>
              <w:t>легкосбрасываемых</w:t>
            </w:r>
            <w:proofErr w:type="spellEnd"/>
            <w:r w:rsidRPr="00155DF2">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поверенными предприятиями-изготовителями, принятыми в эксплуатацию соответствующими </w:t>
            </w:r>
            <w:proofErr w:type="spellStart"/>
            <w:r w:rsidRPr="00155DF2">
              <w:rPr>
                <w:rFonts w:ascii="Times New Roman" w:eastAsia="Times New Roman" w:hAnsi="Times New Roman" w:cs="Times New Roman"/>
                <w:sz w:val="20"/>
                <w:szCs w:val="20"/>
                <w:lang w:eastAsia="en-US"/>
              </w:rPr>
              <w:t>ресурсоснабжающими</w:t>
            </w:r>
            <w:proofErr w:type="spellEnd"/>
            <w:r w:rsidRPr="00155DF2">
              <w:rPr>
                <w:rFonts w:ascii="Times New Roman" w:eastAsia="Times New Roman" w:hAnsi="Times New Roman" w:cs="Times New Roman"/>
                <w:sz w:val="20"/>
                <w:szCs w:val="20"/>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оконные блоки со стеклопакетом класса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в соответствии с классом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одно-, двухклавишные </w:t>
            </w:r>
            <w:proofErr w:type="spellStart"/>
            <w:r w:rsidRPr="00155DF2">
              <w:rPr>
                <w:rFonts w:ascii="Times New Roman" w:eastAsia="Times New Roman" w:hAnsi="Times New Roman" w:cs="Times New Roman"/>
                <w:sz w:val="20"/>
                <w:szCs w:val="20"/>
                <w:lang w:eastAsia="en-US"/>
              </w:rPr>
              <w:t>электровыключатели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proofErr w:type="spellStart"/>
            <w:r w:rsidRPr="00155DF2">
              <w:rPr>
                <w:rFonts w:ascii="Times New Roman" w:eastAsia="Times New Roman" w:hAnsi="Times New Roman" w:cs="Times New Roman"/>
                <w:sz w:val="20"/>
                <w:szCs w:val="20"/>
                <w:lang w:eastAsia="en-US"/>
              </w:rPr>
              <w:t>электророзетки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4</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5</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Требование к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155DF2">
              <w:rPr>
                <w:rFonts w:ascii="Times New Roman" w:eastAsia="Times New Roman" w:hAnsi="Times New Roman" w:cs="Times New Roman"/>
                <w:sz w:val="20"/>
                <w:szCs w:val="20"/>
                <w:lang w:eastAsia="en-US"/>
              </w:rPr>
              <w:t>пр</w:t>
            </w:r>
            <w:proofErr w:type="spellEnd"/>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Рекомендуется предусматривать следующие мероприятия, направленные на повышение </w:t>
            </w:r>
            <w:proofErr w:type="spellStart"/>
            <w:r w:rsidRPr="00155DF2">
              <w:rPr>
                <w:rFonts w:ascii="Times New Roman" w:eastAsia="Times New Roman" w:hAnsi="Times New Roman" w:cs="Times New Roman"/>
                <w:sz w:val="20"/>
                <w:szCs w:val="20"/>
                <w:lang w:eastAsia="en-US"/>
              </w:rPr>
              <w:t>энергоэффективности</w:t>
            </w:r>
            <w:proofErr w:type="spellEnd"/>
            <w:r w:rsidRPr="00155DF2">
              <w:rPr>
                <w:rFonts w:ascii="Times New Roman" w:eastAsia="Times New Roman" w:hAnsi="Times New Roman" w:cs="Times New Roman"/>
                <w:sz w:val="20"/>
                <w:szCs w:val="20"/>
                <w:lang w:eastAsia="en-US"/>
              </w:rPr>
              <w:t xml:space="preserve">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155DF2">
              <w:rPr>
                <w:rFonts w:ascii="Times New Roman" w:eastAsia="Times New Roman" w:hAnsi="Times New Roman" w:cs="Times New Roman"/>
                <w:sz w:val="20"/>
                <w:szCs w:val="20"/>
                <w:lang w:eastAsia="en-US"/>
              </w:rPr>
              <w:t>автодоводчиками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155DF2">
              <w:rPr>
                <w:rFonts w:ascii="Times New Roman" w:eastAsia="Times New Roman" w:hAnsi="Times New Roman" w:cs="Times New Roman"/>
                <w:sz w:val="20"/>
                <w:szCs w:val="20"/>
                <w:lang w:eastAsia="en-US"/>
              </w:rPr>
              <w:t>автодоводчиками</w:t>
            </w:r>
            <w:proofErr w:type="spellEnd"/>
            <w:r w:rsidRPr="00155DF2">
              <w:rPr>
                <w:rFonts w:ascii="Times New Roman" w:eastAsia="Times New Roman" w:hAnsi="Times New Roman" w:cs="Times New Roman"/>
                <w:sz w:val="20"/>
                <w:szCs w:val="20"/>
                <w:lang w:eastAsia="en-US"/>
              </w:rPr>
              <w:t>.</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w:t>
            </w:r>
            <w:r w:rsidRPr="00155DF2">
              <w:rPr>
                <w:rFonts w:ascii="Times New Roman" w:eastAsia="Times New Roman" w:hAnsi="Times New Roman" w:cs="Times New Roman"/>
                <w:sz w:val="20"/>
                <w:szCs w:val="20"/>
                <w:lang w:eastAsia="en-US"/>
              </w:rPr>
              <w:lastRenderedPageBreak/>
              <w:t>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F36FF7">
        <w:tc>
          <w:tcPr>
            <w:tcW w:w="147"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6</w:t>
            </w:r>
          </w:p>
        </w:tc>
        <w:tc>
          <w:tcPr>
            <w:tcW w:w="635"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218"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2124"/>
      </w:tblGrid>
      <w:tr w:rsidR="002C0602" w:rsidRPr="00155DF2" w:rsidTr="002C0602">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2124"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2C0602">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2124"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2C0602">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2124"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2C0602">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884"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2C0602">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highlight w:val="yellow"/>
                <w:lang w:eastAsia="en-US"/>
              </w:rPr>
            </w:pPr>
            <w:r w:rsidRPr="00155DF2">
              <w:rPr>
                <w:rFonts w:ascii="Times New Roman" w:eastAsia="Calibri" w:hAnsi="Times New Roman" w:cs="Times New Roman"/>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4"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0,08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2C0602">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0,002</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highlight w:val="yellow"/>
                <w:lang w:eastAsia="en-US"/>
              </w:rPr>
            </w:pPr>
            <w:r w:rsidRPr="00155DF2">
              <w:rPr>
                <w:rFonts w:ascii="Times New Roman" w:eastAsia="Times New Roman" w:hAnsi="Times New Roman" w:cs="Times New Roman"/>
                <w:lang w:eastAsia="en-US"/>
              </w:rPr>
              <w:t>0,037</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2C0602" w:rsidRPr="00155DF2" w:rsidTr="002C0602">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2.</w:t>
            </w:r>
          </w:p>
        </w:tc>
        <w:tc>
          <w:tcPr>
            <w:tcW w:w="14884"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2C0602">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0,096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02. Переселение граждан из </w:t>
            </w:r>
            <w:r w:rsidRPr="00155DF2">
              <w:rPr>
                <w:rFonts w:ascii="Times New Roman" w:eastAsia="Calibri" w:hAnsi="Times New Roman" w:cs="Times New Roman"/>
                <w:lang w:eastAsia="en-US"/>
              </w:rPr>
              <w:lastRenderedPageBreak/>
              <w:t>аварийного жилищного фонда</w:t>
            </w:r>
          </w:p>
        </w:tc>
      </w:tr>
      <w:tr w:rsidR="002C0602" w:rsidRPr="00155DF2" w:rsidTr="002C0602">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 xml:space="preserve">Тысяча </w:t>
            </w:r>
            <w:proofErr w:type="spellStart"/>
            <w:r w:rsidRPr="00F36FF7">
              <w:rPr>
                <w:rFonts w:ascii="Times New Roman" w:eastAsia="Calibri" w:hAnsi="Times New Roman" w:cs="Times New Roman"/>
                <w:lang w:eastAsia="en-US"/>
              </w:rPr>
              <w:t>кв.м</w:t>
            </w:r>
            <w:proofErr w:type="spellEnd"/>
            <w:r w:rsidRPr="00F36FF7">
              <w:rPr>
                <w:rFonts w:ascii="Times New Roman" w:eastAsia="Calibri" w:hAnsi="Times New Roman" w:cs="Times New Roman"/>
                <w:lang w:eastAsia="en-US"/>
              </w:rPr>
              <w:t>.</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1,96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2C0602">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4"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lastRenderedPageBreak/>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proofErr w:type="gramStart"/>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proofErr w:type="gramEnd"/>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3056"/>
        <w:gridCol w:w="850"/>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 xml:space="preserve">Комитет по строительству, дорожной деятельности и благоустройства Администрации городского </w:t>
            </w:r>
            <w:proofErr w:type="gramStart"/>
            <w:r w:rsidRPr="00F15C6F">
              <w:rPr>
                <w:rFonts w:ascii="Times New Roman" w:eastAsia="Calibri" w:hAnsi="Times New Roman" w:cs="Times New Roman"/>
                <w:sz w:val="24"/>
                <w:szCs w:val="24"/>
                <w:lang w:eastAsia="en-US"/>
              </w:rPr>
              <w:t>округа  Электросталь</w:t>
            </w:r>
            <w:proofErr w:type="gramEnd"/>
            <w:r w:rsidRPr="00F15C6F">
              <w:rPr>
                <w:rFonts w:ascii="Times New Roman" w:eastAsia="Calibri" w:hAnsi="Times New Roman" w:cs="Times New Roman"/>
                <w:sz w:val="24"/>
                <w:szCs w:val="24"/>
                <w:lang w:eastAsia="en-US"/>
              </w:rPr>
              <w:t xml:space="preserve">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F15C6F">
              <w:rPr>
                <w:rFonts w:ascii="Times New Roman" w:eastAsia="Times New Roman" w:hAnsi="Times New Roman" w:cs="Times New Roman"/>
                <w:sz w:val="24"/>
                <w:szCs w:val="24"/>
              </w:rPr>
              <w:t>энергоэффективных</w:t>
            </w:r>
            <w:proofErr w:type="spellEnd"/>
            <w:r w:rsidRPr="00F15C6F">
              <w:rPr>
                <w:rFonts w:ascii="Times New Roman" w:eastAsia="Times New Roman" w:hAnsi="Times New Roman" w:cs="Times New Roman"/>
                <w:sz w:val="24"/>
                <w:szCs w:val="24"/>
              </w:rPr>
              <w:t xml:space="preserve">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F15C6F">
              <w:rPr>
                <w:rFonts w:ascii="Times New Roman" w:eastAsia="Calibri" w:hAnsi="Times New Roman" w:cs="Times New Roman"/>
                <w:sz w:val="24"/>
                <w:szCs w:val="24"/>
                <w:lang w:eastAsia="en-US"/>
              </w:rPr>
              <w:t>энергоэффективности</w:t>
            </w:r>
            <w:proofErr w:type="spellEnd"/>
            <w:r w:rsidRPr="00F15C6F">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F15C6F">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3056"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656"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422E7C">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422E7C">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965,68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7E41A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39 686,96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40 652,64</w:t>
            </w:r>
          </w:p>
        </w:tc>
      </w:tr>
      <w:tr w:rsidR="00422E7C" w:rsidRPr="00F15C6F" w:rsidTr="00422E7C">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965,68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7 114,03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8 079,71 </w:t>
            </w:r>
          </w:p>
        </w:tc>
      </w:tr>
      <w:tr w:rsidR="00422E7C" w:rsidRPr="00F15C6F" w:rsidTr="00422E7C">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2 083,45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2 083,45 </w:t>
            </w:r>
          </w:p>
        </w:tc>
      </w:tr>
      <w:tr w:rsidR="00422E7C" w:rsidRPr="00F15C6F" w:rsidTr="00422E7C">
        <w:trPr>
          <w:trHeight w:val="100"/>
        </w:trPr>
        <w:tc>
          <w:tcPr>
            <w:tcW w:w="2014" w:type="dxa"/>
            <w:vMerge/>
            <w:tcBorders>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056" w:type="dxa"/>
            <w:tcBorders>
              <w:top w:val="single" w:sz="4" w:space="0" w:color="auto"/>
              <w:left w:val="single" w:sz="4" w:space="0" w:color="auto"/>
              <w:bottom w:val="single" w:sz="4" w:space="0" w:color="auto"/>
              <w:right w:val="single" w:sz="4" w:space="0" w:color="auto"/>
            </w:tcBorders>
          </w:tcPr>
          <w:p w:rsidR="00422E7C" w:rsidRPr="00F15C6F" w:rsidRDefault="00422E7C"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30 489,48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color w:val="000000"/>
                <w:sz w:val="24"/>
                <w:szCs w:val="24"/>
                <w:lang w:eastAsia="en-US"/>
              </w:rPr>
              <w:t>30 489,48</w:t>
            </w:r>
          </w:p>
        </w:tc>
      </w:tr>
      <w:tr w:rsidR="00422E7C" w:rsidRPr="00F15C6F" w:rsidTr="00F01185">
        <w:trPr>
          <w:trHeight w:val="562"/>
        </w:trPr>
        <w:tc>
          <w:tcPr>
            <w:tcW w:w="7088"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A41A0A">
        <w:trPr>
          <w:trHeight w:val="674"/>
        </w:trPr>
        <w:tc>
          <w:tcPr>
            <w:tcW w:w="7088"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lastRenderedPageBreak/>
              <w:t>Количество квадратных метров расселенного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lang w:eastAsia="en-US"/>
              </w:rPr>
            </w:pPr>
            <w:r w:rsidRPr="00F15C6F">
              <w:rPr>
                <w:rFonts w:ascii="Times New Roman" w:eastAsia="Times New Roman" w:hAnsi="Times New Roman" w:cs="Times New Roman"/>
                <w:sz w:val="24"/>
                <w:lang w:eastAsia="en-US"/>
              </w:rPr>
              <w:t>0,08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lang w:eastAsia="en-US"/>
              </w:rPr>
            </w:pPr>
            <w:r w:rsidRPr="00F15C6F">
              <w:rPr>
                <w:rFonts w:ascii="Times New Roman" w:eastAsia="Times New Roman" w:hAnsi="Times New Roman" w:cs="Times New Roman"/>
                <w:sz w:val="24"/>
                <w:lang w:eastAsia="en-US"/>
              </w:rPr>
              <w:t>0,59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0,67</w:t>
            </w:r>
          </w:p>
        </w:tc>
      </w:tr>
      <w:tr w:rsidR="00422E7C" w:rsidRPr="00F15C6F" w:rsidTr="001D5533">
        <w:trPr>
          <w:trHeight w:val="629"/>
        </w:trPr>
        <w:tc>
          <w:tcPr>
            <w:tcW w:w="7088"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lang w:eastAsia="en-US"/>
              </w:rPr>
            </w:pPr>
            <w:r w:rsidRPr="00F15C6F">
              <w:rPr>
                <w:rFonts w:ascii="Times New Roman" w:eastAsia="Times New Roman" w:hAnsi="Times New Roman" w:cs="Times New Roman"/>
                <w:sz w:val="24"/>
                <w:lang w:eastAsia="en-US"/>
              </w:rPr>
              <w:t>0,002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Times New Roman" w:hAnsi="Times New Roman" w:cs="Times New Roman"/>
                <w:sz w:val="24"/>
                <w:highlight w:val="yellow"/>
                <w:lang w:eastAsia="en-US"/>
              </w:rPr>
            </w:pPr>
            <w:r w:rsidRPr="00F15C6F">
              <w:rPr>
                <w:rFonts w:ascii="Times New Roman" w:eastAsia="Times New Roman" w:hAnsi="Times New Roman" w:cs="Times New Roman"/>
                <w:sz w:val="24"/>
                <w:lang w:eastAsia="en-US"/>
              </w:rPr>
              <w:t>0,037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val="en-US" w:eastAsia="en-US"/>
              </w:rPr>
              <w:t>0</w:t>
            </w:r>
            <w:r w:rsidRPr="00F15C6F">
              <w:rPr>
                <w:rFonts w:ascii="Times New Roman" w:eastAsia="Calibri" w:hAnsi="Times New Roman" w:cs="Times New Roman"/>
                <w:sz w:val="24"/>
                <w:szCs w:val="24"/>
                <w:lang w:eastAsia="en-US"/>
              </w:rPr>
              <w:t>39</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proofErr w:type="gramStart"/>
      <w:r w:rsidRPr="00B53AD7">
        <w:rPr>
          <w:rFonts w:ascii="Times New Roman" w:eastAsia="Times New Roman" w:hAnsi="Times New Roman" w:cs="Times New Roman"/>
          <w:sz w:val="24"/>
          <w:szCs w:val="24"/>
        </w:rPr>
        <w:t>области</w:t>
      </w:r>
      <w:r w:rsidRPr="00B53AD7">
        <w:rPr>
          <w:rFonts w:ascii="Times New Roman" w:eastAsia="Calibri" w:hAnsi="Times New Roman" w:cs="Times New Roman"/>
          <w:sz w:val="24"/>
          <w:szCs w:val="24"/>
          <w:lang w:eastAsia="en-US"/>
        </w:rPr>
        <w:t>(</w:t>
      </w:r>
      <w:proofErr w:type="gramEnd"/>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финансовое и организационное </w:t>
      </w:r>
      <w:proofErr w:type="gramStart"/>
      <w:r w:rsidRPr="00B53AD7">
        <w:rPr>
          <w:rFonts w:ascii="Times New Roman" w:eastAsia="Times New Roman" w:hAnsi="Times New Roman" w:cs="Times New Roman"/>
          <w:sz w:val="24"/>
          <w:szCs w:val="24"/>
        </w:rPr>
        <w:t>обеспечение  на</w:t>
      </w:r>
      <w:proofErr w:type="gramEnd"/>
      <w:r w:rsidRPr="00B53AD7">
        <w:rPr>
          <w:rFonts w:ascii="Times New Roman" w:eastAsia="Times New Roman" w:hAnsi="Times New Roman" w:cs="Times New Roman"/>
          <w:sz w:val="24"/>
          <w:szCs w:val="24"/>
        </w:rPr>
        <w:t xml:space="preserve">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установление единого порядка реализации </w:t>
      </w:r>
      <w:proofErr w:type="gramStart"/>
      <w:r w:rsidRPr="00B53AD7">
        <w:rPr>
          <w:rFonts w:ascii="Times New Roman" w:eastAsia="Times New Roman" w:hAnsi="Times New Roman" w:cs="Times New Roman"/>
          <w:sz w:val="24"/>
          <w:szCs w:val="24"/>
        </w:rPr>
        <w:t>в  городско</w:t>
      </w:r>
      <w:proofErr w:type="gramEnd"/>
      <w:r w:rsidRPr="00B53AD7">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6019" w:type="dxa"/>
        <w:tblInd w:w="-318" w:type="dxa"/>
        <w:tblLayout w:type="fixed"/>
        <w:tblLook w:val="04A0" w:firstRow="1" w:lastRow="0" w:firstColumn="1" w:lastColumn="0" w:noHBand="0" w:noVBand="1"/>
      </w:tblPr>
      <w:tblGrid>
        <w:gridCol w:w="561"/>
        <w:gridCol w:w="1566"/>
        <w:gridCol w:w="992"/>
        <w:gridCol w:w="1702"/>
        <w:gridCol w:w="1560"/>
        <w:gridCol w:w="1276"/>
        <w:gridCol w:w="850"/>
        <w:gridCol w:w="850"/>
        <w:gridCol w:w="991"/>
        <w:gridCol w:w="1560"/>
        <w:gridCol w:w="1276"/>
        <w:gridCol w:w="1559"/>
        <w:gridCol w:w="1276"/>
      </w:tblGrid>
      <w:tr w:rsidR="00CE03FB" w:rsidRPr="00B53AD7" w:rsidTr="00CE03FB">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w:t>
            </w:r>
            <w:proofErr w:type="spellStart"/>
            <w:r w:rsidRPr="00CE03FB">
              <w:rPr>
                <w:rFonts w:eastAsia="Calibri"/>
                <w:sz w:val="16"/>
                <w:szCs w:val="18"/>
              </w:rPr>
              <w:t>тыс.руб</w:t>
            </w:r>
            <w:proofErr w:type="spellEnd"/>
            <w:r w:rsidRPr="00CE03FB">
              <w:rPr>
                <w:rFonts w:eastAsia="Calibri"/>
                <w:sz w:val="16"/>
                <w:szCs w:val="18"/>
              </w:rPr>
              <w:t>.)</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w:t>
            </w:r>
            <w:proofErr w:type="spellStart"/>
            <w:r w:rsidRPr="00B53AD7">
              <w:rPr>
                <w:rFonts w:eastAsia="Calibri"/>
                <w:sz w:val="18"/>
                <w:szCs w:val="18"/>
              </w:rPr>
              <w:t>тыс.руб</w:t>
            </w:r>
            <w:proofErr w:type="spellEnd"/>
            <w:r w:rsidRPr="00B53AD7">
              <w:rPr>
                <w:rFonts w:eastAsia="Calibri"/>
                <w:sz w:val="18"/>
                <w:szCs w:val="18"/>
              </w:rPr>
              <w:t>.)</w:t>
            </w:r>
          </w:p>
        </w:tc>
        <w:tc>
          <w:tcPr>
            <w:tcW w:w="5527"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w:t>
            </w:r>
            <w:proofErr w:type="spellStart"/>
            <w:r w:rsidRPr="00B53AD7">
              <w:rPr>
                <w:rFonts w:eastAsia="Calibri"/>
                <w:sz w:val="18"/>
                <w:szCs w:val="18"/>
              </w:rPr>
              <w:t>тыс.руб</w:t>
            </w:r>
            <w:proofErr w:type="spellEnd"/>
            <w:r w:rsidRPr="00B53AD7">
              <w:rPr>
                <w:rFonts w:eastAsia="Calibri"/>
                <w:sz w:val="18"/>
                <w:szCs w:val="18"/>
              </w:rPr>
              <w:t>.)</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422E7C">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156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276"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r>
      <w:tr w:rsidR="00422E7C" w:rsidRPr="00B53AD7" w:rsidTr="00422E7C">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422E7C" w:rsidRPr="00B53AD7" w:rsidTr="00422E7C">
        <w:tc>
          <w:tcPr>
            <w:tcW w:w="561" w:type="dxa"/>
            <w:vMerge w:val="restart"/>
            <w:tcBorders>
              <w:top w:val="single" w:sz="4" w:space="0" w:color="auto"/>
            </w:tcBorders>
          </w:tcPr>
          <w:p w:rsidR="00422E7C" w:rsidRPr="00B53AD7" w:rsidRDefault="00DF5509"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422E7C" w:rsidRPr="00B53AD7" w:rsidRDefault="00422E7C" w:rsidP="00C9565B">
            <w:pPr>
              <w:autoSpaceDE w:val="0"/>
              <w:autoSpaceDN w:val="0"/>
              <w:adjustRightInd w:val="0"/>
              <w:rPr>
                <w:rFonts w:eastAsia="Times New Roman"/>
                <w:sz w:val="18"/>
                <w:szCs w:val="18"/>
              </w:rPr>
            </w:pPr>
            <w:r w:rsidRPr="00B53AD7">
              <w:rPr>
                <w:rFonts w:eastAsia="Calibri"/>
                <w:sz w:val="18"/>
                <w:szCs w:val="18"/>
              </w:rPr>
              <w:t xml:space="preserve">Основное мероприятие F3. Федеральный проект «Обеспечение </w:t>
            </w:r>
            <w:r w:rsidRPr="00B53AD7">
              <w:rPr>
                <w:rFonts w:eastAsia="Calibri"/>
                <w:sz w:val="18"/>
                <w:szCs w:val="18"/>
              </w:rPr>
              <w:lastRenderedPageBreak/>
              <w:t>устойчивого сокращения непригодного для проживания жилищного фонда»</w:t>
            </w:r>
          </w:p>
        </w:tc>
        <w:tc>
          <w:tcPr>
            <w:tcW w:w="992" w:type="dxa"/>
            <w:vMerge w:val="restart"/>
            <w:tcBorders>
              <w:top w:val="single" w:sz="4" w:space="0" w:color="auto"/>
            </w:tcBorders>
          </w:tcPr>
          <w:p w:rsidR="00422E7C" w:rsidRPr="00B53AD7" w:rsidRDefault="00422E7C" w:rsidP="00C9565B">
            <w:pPr>
              <w:ind w:firstLine="73"/>
              <w:jc w:val="center"/>
              <w:rPr>
                <w:rFonts w:eastAsia="Calibri"/>
                <w:sz w:val="18"/>
                <w:szCs w:val="18"/>
              </w:rPr>
            </w:pPr>
            <w:r w:rsidRPr="00B53AD7">
              <w:rPr>
                <w:rFonts w:eastAsia="Calibri"/>
                <w:sz w:val="18"/>
                <w:szCs w:val="18"/>
              </w:rPr>
              <w:lastRenderedPageBreak/>
              <w:t>2019-2025</w:t>
            </w: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40 652,64</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CE03FB" w:rsidRDefault="00422E7C"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Pr>
                <w:rFonts w:eastAsia="Calibri"/>
                <w:sz w:val="18"/>
                <w:szCs w:val="18"/>
              </w:rPr>
              <w:t>965,68</w:t>
            </w:r>
          </w:p>
        </w:tc>
        <w:tc>
          <w:tcPr>
            <w:tcW w:w="1560" w:type="dxa"/>
            <w:tcBorders>
              <w:top w:val="single" w:sz="4" w:space="0" w:color="auto"/>
            </w:tcBorders>
          </w:tcPr>
          <w:p w:rsidR="00422E7C" w:rsidRPr="00B53AD7" w:rsidRDefault="00422E7C" w:rsidP="007E41AE">
            <w:pPr>
              <w:jc w:val="center"/>
              <w:rPr>
                <w:rFonts w:eastAsia="Calibri"/>
                <w:sz w:val="18"/>
                <w:szCs w:val="18"/>
              </w:rPr>
            </w:pPr>
            <w:r>
              <w:rPr>
                <w:rFonts w:eastAsia="Times New Roman"/>
                <w:color w:val="000000"/>
                <w:sz w:val="18"/>
                <w:szCs w:val="18"/>
              </w:rPr>
              <w:t>39 </w:t>
            </w:r>
            <w:r w:rsidR="007E41AE">
              <w:rPr>
                <w:rFonts w:eastAsia="Times New Roman"/>
                <w:color w:val="000000"/>
                <w:sz w:val="18"/>
                <w:szCs w:val="18"/>
              </w:rPr>
              <w:t>686</w:t>
            </w:r>
            <w:r>
              <w:rPr>
                <w:rFonts w:eastAsia="Times New Roman"/>
                <w:color w:val="000000"/>
                <w:sz w:val="18"/>
                <w:szCs w:val="18"/>
              </w:rPr>
              <w:t>,9</w:t>
            </w:r>
            <w:r w:rsidR="007E41AE">
              <w:rPr>
                <w:rFonts w:eastAsia="Times New Roman"/>
                <w:color w:val="000000"/>
                <w:sz w:val="18"/>
                <w:szCs w:val="18"/>
              </w:rPr>
              <w:t>6</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422E7C" w:rsidRPr="00B53AD7" w:rsidRDefault="00422E7C" w:rsidP="005D5459">
            <w:pPr>
              <w:rPr>
                <w:rFonts w:eastAsia="Calibri"/>
                <w:sz w:val="18"/>
                <w:szCs w:val="18"/>
                <w:highlight w:val="yellow"/>
              </w:rPr>
            </w:pPr>
            <w:r w:rsidRPr="00B53AD7">
              <w:rPr>
                <w:rFonts w:eastAsia="Calibri"/>
                <w:sz w:val="18"/>
                <w:szCs w:val="18"/>
              </w:rPr>
              <w:t xml:space="preserve">Комитет по строительству, дорожной деятельности и благоустройства </w:t>
            </w:r>
            <w:r w:rsidRPr="00B53AD7">
              <w:rPr>
                <w:rFonts w:eastAsia="Calibri"/>
                <w:sz w:val="18"/>
                <w:szCs w:val="18"/>
              </w:rPr>
              <w:lastRenderedPageBreak/>
              <w:t>городского округа Электросталь Московской области</w:t>
            </w:r>
          </w:p>
        </w:tc>
        <w:tc>
          <w:tcPr>
            <w:tcW w:w="1276" w:type="dxa"/>
            <w:vMerge w:val="restart"/>
            <w:tcBorders>
              <w:top w:val="single" w:sz="4" w:space="0" w:color="auto"/>
            </w:tcBorders>
          </w:tcPr>
          <w:p w:rsidR="00422E7C" w:rsidRPr="00B53AD7" w:rsidRDefault="00422E7C" w:rsidP="003355F8">
            <w:pPr>
              <w:rPr>
                <w:rFonts w:eastAsia="Calibri"/>
                <w:sz w:val="18"/>
                <w:szCs w:val="18"/>
              </w:rPr>
            </w:pPr>
            <w:r w:rsidRPr="00B53AD7">
              <w:rPr>
                <w:rFonts w:eastAsia="Calibri"/>
                <w:sz w:val="18"/>
                <w:szCs w:val="18"/>
              </w:rPr>
              <w:lastRenderedPageBreak/>
              <w:t xml:space="preserve">Количество квадратных метров расселенного аварийного </w:t>
            </w:r>
            <w:r w:rsidRPr="00B53AD7">
              <w:rPr>
                <w:rFonts w:eastAsia="Calibri"/>
                <w:sz w:val="18"/>
                <w:szCs w:val="18"/>
              </w:rPr>
              <w:lastRenderedPageBreak/>
              <w:t>жилищн</w:t>
            </w:r>
            <w:r w:rsidR="009B0698">
              <w:rPr>
                <w:rFonts w:eastAsia="Calibri"/>
                <w:sz w:val="18"/>
                <w:szCs w:val="18"/>
              </w:rPr>
              <w:t xml:space="preserve">ого фонда до 01.09.2025 </w:t>
            </w:r>
            <w:proofErr w:type="gramStart"/>
            <w:r w:rsidR="009B0698">
              <w:rPr>
                <w:rFonts w:eastAsia="Calibri"/>
                <w:sz w:val="18"/>
                <w:szCs w:val="18"/>
              </w:rPr>
              <w:t>–  0</w:t>
            </w:r>
            <w:proofErr w:type="gramEnd"/>
            <w:r w:rsidR="009B0698">
              <w:rPr>
                <w:rFonts w:eastAsia="Calibri"/>
                <w:sz w:val="18"/>
                <w:szCs w:val="18"/>
              </w:rPr>
              <w:t>,59</w:t>
            </w:r>
          </w:p>
          <w:p w:rsidR="00422E7C" w:rsidRPr="00B53AD7" w:rsidRDefault="00422E7C" w:rsidP="003355F8">
            <w:pPr>
              <w:rPr>
                <w:rFonts w:eastAsia="Calibri"/>
                <w:sz w:val="18"/>
                <w:szCs w:val="18"/>
                <w:highlight w:val="yellow"/>
              </w:rPr>
            </w:pPr>
            <w:r w:rsidRPr="00B53AD7">
              <w:rPr>
                <w:rFonts w:eastAsia="Calibri"/>
                <w:sz w:val="18"/>
                <w:szCs w:val="18"/>
              </w:rPr>
              <w:t xml:space="preserve">тыс. </w:t>
            </w:r>
            <w:proofErr w:type="spellStart"/>
            <w:r w:rsidRPr="00B53AD7">
              <w:rPr>
                <w:rFonts w:eastAsia="Calibri"/>
                <w:sz w:val="18"/>
                <w:szCs w:val="18"/>
              </w:rPr>
              <w:t>кв.м</w:t>
            </w:r>
            <w:proofErr w:type="spellEnd"/>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30 489,48</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60"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30 489,48</w:t>
            </w:r>
          </w:p>
        </w:tc>
        <w:tc>
          <w:tcPr>
            <w:tcW w:w="1276"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jc w:val="center"/>
              <w:rPr>
                <w:rFonts w:eastAsia="Calibri"/>
                <w:sz w:val="18"/>
                <w:szCs w:val="18"/>
                <w:highlight w:val="yellow"/>
              </w:rPr>
            </w:pPr>
          </w:p>
        </w:tc>
        <w:tc>
          <w:tcPr>
            <w:tcW w:w="1276" w:type="dxa"/>
            <w:vMerge/>
          </w:tcPr>
          <w:p w:rsidR="00422E7C" w:rsidRPr="00B53AD7" w:rsidRDefault="00422E7C" w:rsidP="00C9565B">
            <w:pPr>
              <w:jc w:val="center"/>
              <w:rPr>
                <w:rFonts w:eastAsia="Calibri"/>
                <w:sz w:val="18"/>
                <w:szCs w:val="18"/>
                <w:highlight w:val="yellow"/>
              </w:rPr>
            </w:pPr>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8 079,71</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sidRPr="00B53AD7">
              <w:rPr>
                <w:rFonts w:eastAsia="Times New Roman"/>
                <w:color w:val="000000"/>
                <w:sz w:val="18"/>
                <w:szCs w:val="18"/>
              </w:rPr>
              <w:t>965,68</w:t>
            </w:r>
          </w:p>
        </w:tc>
        <w:tc>
          <w:tcPr>
            <w:tcW w:w="1560" w:type="dxa"/>
            <w:tcBorders>
              <w:top w:val="single" w:sz="4" w:space="0" w:color="auto"/>
            </w:tcBorders>
          </w:tcPr>
          <w:p w:rsidR="00422E7C" w:rsidRPr="00B53AD7" w:rsidRDefault="00422E7C" w:rsidP="003355F8">
            <w:pPr>
              <w:jc w:val="center"/>
              <w:rPr>
                <w:rFonts w:eastAsia="Calibri"/>
                <w:sz w:val="18"/>
                <w:szCs w:val="18"/>
              </w:rPr>
            </w:pPr>
            <w:r w:rsidRPr="00B53AD7">
              <w:rPr>
                <w:rFonts w:eastAsia="Times New Roman"/>
                <w:sz w:val="18"/>
                <w:szCs w:val="18"/>
              </w:rPr>
              <w:t>7 114,03</w:t>
            </w:r>
          </w:p>
        </w:tc>
        <w:tc>
          <w:tcPr>
            <w:tcW w:w="1276"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jc w:val="center"/>
              <w:rPr>
                <w:rFonts w:eastAsia="Calibri"/>
                <w:sz w:val="18"/>
                <w:szCs w:val="18"/>
                <w:highlight w:val="yellow"/>
              </w:rPr>
            </w:pPr>
          </w:p>
        </w:tc>
        <w:tc>
          <w:tcPr>
            <w:tcW w:w="1276" w:type="dxa"/>
            <w:vMerge/>
          </w:tcPr>
          <w:p w:rsidR="00422E7C" w:rsidRPr="00B53AD7" w:rsidRDefault="00422E7C" w:rsidP="00C9565B">
            <w:pPr>
              <w:jc w:val="center"/>
              <w:rPr>
                <w:rFonts w:eastAsia="Calibri"/>
                <w:sz w:val="18"/>
                <w:szCs w:val="18"/>
                <w:highlight w:val="yellow"/>
              </w:rPr>
            </w:pPr>
          </w:p>
        </w:tc>
      </w:tr>
      <w:tr w:rsidR="00422E7C" w:rsidRPr="00B53AD7" w:rsidTr="00422E7C">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422E7C" w:rsidRPr="00B53AD7" w:rsidRDefault="00422E7C" w:rsidP="003355F8">
            <w:pPr>
              <w:jc w:val="center"/>
              <w:rPr>
                <w:rFonts w:eastAsia="Times New Roman"/>
                <w:sz w:val="18"/>
                <w:szCs w:val="18"/>
              </w:rPr>
            </w:pPr>
            <w:r w:rsidRPr="00B53AD7">
              <w:rPr>
                <w:rFonts w:eastAsia="Times New Roman"/>
                <w:sz w:val="18"/>
                <w:szCs w:val="18"/>
              </w:rPr>
              <w:t>2 083,45</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0,0</w:t>
            </w:r>
          </w:p>
        </w:tc>
        <w:tc>
          <w:tcPr>
            <w:tcW w:w="1560" w:type="dxa"/>
            <w:tcBorders>
              <w:top w:val="single" w:sz="4" w:space="0" w:color="auto"/>
            </w:tcBorders>
          </w:tcPr>
          <w:p w:rsidR="00422E7C" w:rsidRPr="00B53AD7" w:rsidRDefault="00422E7C" w:rsidP="003355F8">
            <w:pPr>
              <w:jc w:val="center"/>
              <w:rPr>
                <w:rFonts w:eastAsia="Calibri"/>
                <w:sz w:val="18"/>
                <w:szCs w:val="18"/>
              </w:rPr>
            </w:pPr>
            <w:r>
              <w:rPr>
                <w:rFonts w:eastAsia="Times New Roman"/>
                <w:sz w:val="18"/>
                <w:szCs w:val="18"/>
              </w:rPr>
              <w:t>2 083,45</w:t>
            </w:r>
          </w:p>
        </w:tc>
        <w:tc>
          <w:tcPr>
            <w:tcW w:w="1276" w:type="dxa"/>
            <w:tcBorders>
              <w:top w:val="single" w:sz="4" w:space="0" w:color="auto"/>
            </w:tcBorders>
          </w:tcPr>
          <w:p w:rsidR="00422E7C" w:rsidRPr="00B53AD7" w:rsidRDefault="00422E7C" w:rsidP="003355F8">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jc w:val="center"/>
              <w:rPr>
                <w:rFonts w:eastAsia="Calibri"/>
                <w:sz w:val="18"/>
                <w:szCs w:val="18"/>
                <w:highlight w:val="yellow"/>
              </w:rPr>
            </w:pPr>
          </w:p>
        </w:tc>
        <w:tc>
          <w:tcPr>
            <w:tcW w:w="1276" w:type="dxa"/>
            <w:vMerge/>
          </w:tcPr>
          <w:p w:rsidR="00422E7C" w:rsidRPr="00B53AD7" w:rsidRDefault="00422E7C" w:rsidP="00C9565B">
            <w:pPr>
              <w:jc w:val="center"/>
              <w:rPr>
                <w:rFonts w:eastAsia="Calibri"/>
                <w:sz w:val="18"/>
                <w:szCs w:val="18"/>
                <w:highlight w:val="yellow"/>
              </w:rPr>
            </w:pPr>
          </w:p>
        </w:tc>
      </w:tr>
      <w:tr w:rsidR="00422E7C" w:rsidRPr="00B53AD7" w:rsidTr="00CA74E6">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422E7C" w:rsidRPr="00B53AD7" w:rsidTr="00BD4D19">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560"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127EAB">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56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2A1D3E">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7D3B64">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.2</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F3.2 Переселение из непригодного для проживания жилищного фонда по I</w:t>
            </w:r>
            <w:r w:rsidRPr="00B53AD7">
              <w:rPr>
                <w:rFonts w:eastAsia="Calibri"/>
                <w:sz w:val="18"/>
                <w:szCs w:val="18"/>
                <w:lang w:val="en-US"/>
              </w:rPr>
              <w:t>I</w:t>
            </w:r>
            <w:r w:rsidRPr="00B53AD7">
              <w:rPr>
                <w:rFonts w:eastAsia="Calibri"/>
                <w:sz w:val="18"/>
                <w:szCs w:val="18"/>
              </w:rPr>
              <w:t xml:space="preserve">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2020 -2021</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422E7C" w:rsidRPr="00B53AD7" w:rsidTr="00730C73">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4B3E76">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E565D3">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007E00">
        <w:trPr>
          <w:trHeight w:val="77"/>
        </w:trPr>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.3</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lastRenderedPageBreak/>
              <w:t>2021-2022</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sz w:val="18"/>
                <w:szCs w:val="18"/>
              </w:rPr>
            </w:pPr>
            <w:r>
              <w:rPr>
                <w:rFonts w:eastAsia="Times New Roman"/>
                <w:sz w:val="18"/>
                <w:szCs w:val="18"/>
              </w:rPr>
              <w:t>965,68</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Pr>
          <w:p w:rsidR="00422E7C" w:rsidRPr="00B53AD7" w:rsidRDefault="00422E7C" w:rsidP="003355F8">
            <w:pPr>
              <w:jc w:val="center"/>
              <w:rPr>
                <w:rFonts w:eastAsia="Calibri"/>
                <w:sz w:val="18"/>
                <w:szCs w:val="18"/>
              </w:rPr>
            </w:pPr>
            <w:r>
              <w:rPr>
                <w:rFonts w:eastAsia="Calibri"/>
                <w:sz w:val="18"/>
                <w:szCs w:val="18"/>
              </w:rPr>
              <w:t>965,68</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Комитет по строительству, дорожной деятельности и благоустройства городского округа Электросталь </w:t>
            </w:r>
            <w:r w:rsidRPr="00B53AD7">
              <w:rPr>
                <w:rFonts w:eastAsia="Calibri"/>
                <w:sz w:val="18"/>
                <w:szCs w:val="18"/>
              </w:rPr>
              <w:lastRenderedPageBreak/>
              <w:t>Московской области</w:t>
            </w:r>
          </w:p>
        </w:tc>
        <w:tc>
          <w:tcPr>
            <w:tcW w:w="1276" w:type="dxa"/>
            <w:vMerge w:val="restart"/>
          </w:tcPr>
          <w:p w:rsidR="00422E7C" w:rsidRPr="00B53AD7" w:rsidRDefault="00422E7C" w:rsidP="005D5459">
            <w:pPr>
              <w:rPr>
                <w:rFonts w:eastAsia="Calibri"/>
                <w:sz w:val="18"/>
                <w:szCs w:val="18"/>
                <w:highlight w:val="yellow"/>
              </w:rPr>
            </w:pPr>
            <w:r w:rsidRPr="00B53AD7">
              <w:rPr>
                <w:rFonts w:eastAsia="Calibri"/>
                <w:sz w:val="18"/>
                <w:szCs w:val="18"/>
              </w:rPr>
              <w:lastRenderedPageBreak/>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Pr="00F97D4A">
              <w:rPr>
                <w:rFonts w:eastAsia="Calibri"/>
                <w:sz w:val="18"/>
                <w:szCs w:val="18"/>
              </w:rPr>
              <w:t xml:space="preserve"> </w:t>
            </w:r>
            <w:r w:rsidRPr="00F97D4A">
              <w:rPr>
                <w:rFonts w:eastAsia="Calibri"/>
                <w:sz w:val="18"/>
                <w:szCs w:val="18"/>
              </w:rPr>
              <w:lastRenderedPageBreak/>
              <w:t>этапа – 0,</w:t>
            </w:r>
            <w:r>
              <w:rPr>
                <w:rFonts w:eastAsia="Calibri"/>
                <w:sz w:val="18"/>
                <w:szCs w:val="18"/>
              </w:rPr>
              <w:t xml:space="preserve">08 </w:t>
            </w:r>
            <w:r w:rsidRPr="00F97D4A">
              <w:rPr>
                <w:rFonts w:eastAsia="Calibri"/>
                <w:sz w:val="18"/>
                <w:szCs w:val="18"/>
              </w:rPr>
              <w:t xml:space="preserve">тыс. </w:t>
            </w:r>
            <w:proofErr w:type="spellStart"/>
            <w:r w:rsidRPr="00F97D4A">
              <w:rPr>
                <w:rFonts w:eastAsia="Calibri"/>
                <w:sz w:val="18"/>
                <w:szCs w:val="18"/>
              </w:rPr>
              <w:t>кв.м</w:t>
            </w:r>
            <w:proofErr w:type="spellEnd"/>
          </w:p>
        </w:tc>
      </w:tr>
      <w:tr w:rsidR="00422E7C" w:rsidRPr="00B53AD7" w:rsidTr="00C74A02">
        <w:trPr>
          <w:trHeight w:val="54"/>
        </w:trPr>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850" w:type="dxa"/>
            <w:tcBorders>
              <w:top w:val="nil"/>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Pr>
          <w:p w:rsidR="00422E7C" w:rsidRPr="00B53AD7" w:rsidRDefault="00422E7C" w:rsidP="003355F8">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067DE3">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Times New Roman"/>
                <w:sz w:val="18"/>
                <w:szCs w:val="18"/>
              </w:rPr>
            </w:pPr>
            <w:r>
              <w:rPr>
                <w:rFonts w:eastAsia="Times New Roman"/>
                <w:sz w:val="18"/>
                <w:szCs w:val="18"/>
              </w:rPr>
              <w:t>965,68</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422E7C" w:rsidRPr="00B53AD7" w:rsidRDefault="00422E7C" w:rsidP="003355F8">
            <w:pPr>
              <w:jc w:val="center"/>
              <w:rPr>
                <w:rFonts w:eastAsia="Calibri"/>
                <w:sz w:val="18"/>
                <w:szCs w:val="18"/>
              </w:rPr>
            </w:pPr>
            <w:r w:rsidRPr="00B53AD7">
              <w:rPr>
                <w:rFonts w:eastAsia="Times New Roman"/>
                <w:color w:val="000000"/>
                <w:sz w:val="18"/>
                <w:szCs w:val="18"/>
              </w:rPr>
              <w:t>965,68</w:t>
            </w:r>
          </w:p>
        </w:tc>
        <w:tc>
          <w:tcPr>
            <w:tcW w:w="1560" w:type="dxa"/>
            <w:tcBorders>
              <w:bottom w:val="single" w:sz="4" w:space="0" w:color="auto"/>
            </w:tcBorders>
          </w:tcPr>
          <w:p w:rsidR="00422E7C" w:rsidRPr="00B53AD7" w:rsidRDefault="00422E7C" w:rsidP="00C9565B">
            <w:pPr>
              <w:jc w:val="center"/>
              <w:rPr>
                <w:rFonts w:eastAsia="Calibri"/>
                <w:sz w:val="18"/>
                <w:szCs w:val="18"/>
              </w:rPr>
            </w:pPr>
            <w:r w:rsidRPr="00B53AD7">
              <w:rPr>
                <w:rFonts w:eastAsia="Times New Roman"/>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616F03">
        <w:trPr>
          <w:trHeight w:val="1664"/>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422E7C" w:rsidRPr="00B53AD7" w:rsidRDefault="00422E7C" w:rsidP="003355F8">
            <w:pPr>
              <w:jc w:val="center"/>
              <w:rPr>
                <w:rFonts w:eastAsia="Calibri"/>
                <w:sz w:val="18"/>
                <w:szCs w:val="18"/>
              </w:rPr>
            </w:pPr>
            <w:r>
              <w:rPr>
                <w:rFonts w:eastAsia="Times New Roman"/>
                <w:color w:val="000000"/>
                <w:sz w:val="18"/>
                <w:szCs w:val="18"/>
              </w:rPr>
              <w:t>0,00</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CE1606">
        <w:trPr>
          <w:trHeight w:val="54"/>
        </w:trPr>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.4</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2022-2023</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Pr="00B53AD7">
              <w:rPr>
                <w:rFonts w:eastAsia="Calibri"/>
                <w:sz w:val="18"/>
                <w:szCs w:val="18"/>
              </w:rPr>
              <w:t xml:space="preserve">этапа – 0 тыс. </w:t>
            </w:r>
            <w:proofErr w:type="spellStart"/>
            <w:r w:rsidRPr="00B53AD7">
              <w:rPr>
                <w:rFonts w:eastAsia="Calibri"/>
                <w:sz w:val="18"/>
                <w:szCs w:val="18"/>
              </w:rPr>
              <w:t>кв.м</w:t>
            </w:r>
            <w:proofErr w:type="spellEnd"/>
          </w:p>
        </w:tc>
      </w:tr>
      <w:tr w:rsidR="00422E7C" w:rsidRPr="00B53AD7" w:rsidTr="00E47CA6">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3C33D6">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60"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120978">
        <w:trPr>
          <w:trHeight w:val="54"/>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B35518">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.5</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2023 -2024</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Pr>
                <w:rFonts w:eastAsia="Times New Roman"/>
                <w:sz w:val="18"/>
                <w:szCs w:val="18"/>
              </w:rPr>
              <w:t>39 437,95</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CE03FB" w:rsidRDefault="00422E7C" w:rsidP="00CE03FB">
            <w:pPr>
              <w:jc w:val="center"/>
              <w:rPr>
                <w:rFonts w:eastAsia="Calibri"/>
                <w:sz w:val="18"/>
                <w:szCs w:val="18"/>
                <w:lang w:val="en-US"/>
              </w:rPr>
            </w:pPr>
            <w:r>
              <w:rPr>
                <w:rFonts w:eastAsia="Calibri"/>
                <w:sz w:val="18"/>
                <w:szCs w:val="18"/>
                <w:lang w:val="en-US"/>
              </w:rPr>
              <w:t>0</w:t>
            </w:r>
          </w:p>
        </w:tc>
        <w:tc>
          <w:tcPr>
            <w:tcW w:w="991" w:type="dxa"/>
          </w:tcPr>
          <w:p w:rsidR="00422E7C" w:rsidRPr="00B53AD7" w:rsidRDefault="00422E7C" w:rsidP="00CE03FB">
            <w:pPr>
              <w:jc w:val="center"/>
              <w:rPr>
                <w:rFonts w:eastAsia="Calibri"/>
                <w:sz w:val="18"/>
                <w:szCs w:val="18"/>
              </w:rPr>
            </w:pPr>
            <w:r>
              <w:rPr>
                <w:rFonts w:eastAsia="Calibri"/>
                <w:sz w:val="18"/>
                <w:szCs w:val="18"/>
              </w:rPr>
              <w:t>0,0</w:t>
            </w:r>
          </w:p>
        </w:tc>
        <w:tc>
          <w:tcPr>
            <w:tcW w:w="1560" w:type="dxa"/>
          </w:tcPr>
          <w:p w:rsidR="00422E7C" w:rsidRPr="00B53AD7" w:rsidRDefault="00422E7C" w:rsidP="007E41AE">
            <w:pPr>
              <w:jc w:val="center"/>
              <w:rPr>
                <w:rFonts w:eastAsia="Calibri"/>
                <w:sz w:val="18"/>
                <w:szCs w:val="18"/>
              </w:rPr>
            </w:pPr>
            <w:r>
              <w:rPr>
                <w:rFonts w:eastAsia="Times New Roman"/>
                <w:color w:val="000000"/>
                <w:sz w:val="18"/>
                <w:szCs w:val="18"/>
              </w:rPr>
              <w:t>39</w:t>
            </w:r>
            <w:r w:rsidR="007E41AE">
              <w:rPr>
                <w:rFonts w:eastAsia="Times New Roman"/>
                <w:color w:val="000000"/>
                <w:sz w:val="18"/>
                <w:szCs w:val="18"/>
              </w:rPr>
              <w:t> 686</w:t>
            </w:r>
            <w:r>
              <w:rPr>
                <w:rFonts w:eastAsia="Times New Roman"/>
                <w:color w:val="000000"/>
                <w:sz w:val="18"/>
                <w:szCs w:val="18"/>
              </w:rPr>
              <w:t>,9</w:t>
            </w:r>
            <w:r w:rsidR="007E41AE">
              <w:rPr>
                <w:rFonts w:eastAsia="Times New Roman"/>
                <w:color w:val="000000"/>
                <w:sz w:val="18"/>
                <w:szCs w:val="18"/>
              </w:rPr>
              <w:t>6</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Pr="005D5459">
              <w:rPr>
                <w:rFonts w:eastAsia="Calibri"/>
                <w:sz w:val="18"/>
                <w:szCs w:val="18"/>
              </w:rPr>
              <w:t xml:space="preserve"> этапа – 0,59 тыс. </w:t>
            </w:r>
            <w:proofErr w:type="spellStart"/>
            <w:r w:rsidRPr="005D5459">
              <w:rPr>
                <w:rFonts w:eastAsia="Calibri"/>
                <w:sz w:val="18"/>
                <w:szCs w:val="18"/>
              </w:rPr>
              <w:t>кв.м</w:t>
            </w:r>
            <w:proofErr w:type="spellEnd"/>
          </w:p>
        </w:tc>
      </w:tr>
      <w:tr w:rsidR="00422E7C" w:rsidRPr="00B53AD7" w:rsidTr="00634056">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30 489,48</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CE03FB" w:rsidRDefault="00422E7C" w:rsidP="00CE03FB">
            <w:pPr>
              <w:jc w:val="center"/>
              <w:rPr>
                <w:rFonts w:eastAsia="Calibri"/>
                <w:sz w:val="18"/>
                <w:szCs w:val="18"/>
                <w:lang w:val="en-US"/>
              </w:rPr>
            </w:pPr>
            <w:r>
              <w:rPr>
                <w:rFonts w:eastAsia="Calibri"/>
                <w:sz w:val="18"/>
                <w:szCs w:val="18"/>
                <w:lang w:val="en-US"/>
              </w:rPr>
              <w:t>0</w:t>
            </w:r>
          </w:p>
        </w:tc>
        <w:tc>
          <w:tcPr>
            <w:tcW w:w="991"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30 489,48</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highlight w:val="yellow"/>
              </w:rPr>
            </w:pPr>
          </w:p>
        </w:tc>
        <w:tc>
          <w:tcPr>
            <w:tcW w:w="1276" w:type="dxa"/>
            <w:vMerge/>
          </w:tcPr>
          <w:p w:rsidR="00422E7C" w:rsidRPr="00B53AD7" w:rsidRDefault="00422E7C" w:rsidP="00C9565B">
            <w:pPr>
              <w:rPr>
                <w:rFonts w:eastAsia="Calibri"/>
                <w:sz w:val="18"/>
                <w:szCs w:val="18"/>
                <w:highlight w:val="yellow"/>
              </w:rPr>
            </w:pPr>
          </w:p>
        </w:tc>
      </w:tr>
      <w:tr w:rsidR="00422E7C" w:rsidRPr="00B53AD7" w:rsidTr="00D0747B">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sz w:val="18"/>
                <w:szCs w:val="18"/>
              </w:rPr>
            </w:pPr>
            <w:r>
              <w:rPr>
                <w:rFonts w:eastAsia="Times New Roman"/>
                <w:sz w:val="18"/>
                <w:szCs w:val="18"/>
              </w:rPr>
              <w:t>7 114,03</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w:t>
            </w:r>
          </w:p>
        </w:tc>
        <w:tc>
          <w:tcPr>
            <w:tcW w:w="156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Times New Roman"/>
                <w:sz w:val="18"/>
                <w:szCs w:val="18"/>
              </w:rPr>
              <w:t>7 114,03</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B06078">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E03FB">
            <w:pPr>
              <w:jc w:val="center"/>
              <w:rPr>
                <w:rFonts w:eastAsia="Times New Roman"/>
                <w:sz w:val="18"/>
                <w:szCs w:val="18"/>
              </w:rPr>
            </w:pPr>
            <w:r w:rsidRPr="00B53AD7">
              <w:rPr>
                <w:rFonts w:eastAsia="Times New Roman"/>
                <w:sz w:val="18"/>
                <w:szCs w:val="18"/>
              </w:rPr>
              <w:t>2 083,45</w:t>
            </w:r>
          </w:p>
        </w:tc>
        <w:tc>
          <w:tcPr>
            <w:tcW w:w="850" w:type="dxa"/>
            <w:tcBorders>
              <w:top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0,00</w:t>
            </w:r>
          </w:p>
        </w:tc>
        <w:tc>
          <w:tcPr>
            <w:tcW w:w="1560" w:type="dxa"/>
            <w:tcBorders>
              <w:top w:val="single" w:sz="4" w:space="0" w:color="auto"/>
            </w:tcBorders>
          </w:tcPr>
          <w:p w:rsidR="00422E7C" w:rsidRPr="00B53AD7" w:rsidRDefault="00422E7C" w:rsidP="00CE03FB">
            <w:pPr>
              <w:jc w:val="center"/>
              <w:rPr>
                <w:rFonts w:eastAsia="Calibri"/>
                <w:sz w:val="18"/>
                <w:szCs w:val="18"/>
              </w:rPr>
            </w:pPr>
            <w:r>
              <w:rPr>
                <w:rFonts w:eastAsia="Times New Roman"/>
                <w:sz w:val="18"/>
                <w:szCs w:val="18"/>
              </w:rPr>
              <w:t>2 083,45</w:t>
            </w:r>
          </w:p>
        </w:tc>
        <w:tc>
          <w:tcPr>
            <w:tcW w:w="1276" w:type="dxa"/>
            <w:tcBorders>
              <w:top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276"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824AB7">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422E7C" w:rsidRPr="00B53AD7" w:rsidTr="005F05BD">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276" w:type="dxa"/>
            <w:vMerge/>
          </w:tcPr>
          <w:p w:rsidR="00422E7C" w:rsidRPr="00B53AD7" w:rsidRDefault="00422E7C" w:rsidP="00C9565B">
            <w:pPr>
              <w:rPr>
                <w:rFonts w:eastAsia="Calibri"/>
                <w:sz w:val="18"/>
                <w:szCs w:val="18"/>
              </w:rPr>
            </w:pPr>
          </w:p>
        </w:tc>
      </w:tr>
      <w:tr w:rsidR="00422E7C" w:rsidRPr="00B53AD7" w:rsidTr="00CA6D28">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276"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D67B52">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56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276" w:type="dxa"/>
            <w:vMerge/>
            <w:tcBorders>
              <w:top w:val="single" w:sz="4" w:space="0" w:color="auto"/>
            </w:tcBorders>
          </w:tcPr>
          <w:p w:rsidR="00422E7C" w:rsidRPr="00B53AD7" w:rsidRDefault="00422E7C" w:rsidP="00C9565B">
            <w:pPr>
              <w:jc w:val="center"/>
              <w:rPr>
                <w:rFonts w:eastAsia="Calibri"/>
                <w:sz w:val="18"/>
                <w:szCs w:val="18"/>
              </w:rPr>
            </w:pPr>
          </w:p>
        </w:tc>
      </w:tr>
      <w:tr w:rsidR="00422E7C" w:rsidRPr="00B53AD7" w:rsidTr="00920C19">
        <w:trPr>
          <w:trHeight w:val="54"/>
        </w:trPr>
        <w:tc>
          <w:tcPr>
            <w:tcW w:w="561" w:type="dxa"/>
            <w:vMerge w:val="restart"/>
          </w:tcPr>
          <w:p w:rsidR="00422E7C" w:rsidRPr="00B53AD7" w:rsidRDefault="00422E7C" w:rsidP="00C9565B">
            <w:pPr>
              <w:jc w:val="center"/>
              <w:rPr>
                <w:rFonts w:eastAsia="Calibri"/>
                <w:sz w:val="18"/>
                <w:szCs w:val="18"/>
              </w:rPr>
            </w:pPr>
          </w:p>
        </w:tc>
        <w:tc>
          <w:tcPr>
            <w:tcW w:w="1566" w:type="dxa"/>
            <w:vMerge w:val="restart"/>
          </w:tcPr>
          <w:p w:rsidR="00422E7C" w:rsidRPr="00CE03FB" w:rsidRDefault="00422E7C"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40 652,64</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E03FB">
            <w:pPr>
              <w:jc w:val="center"/>
              <w:rPr>
                <w:rFonts w:eastAsia="Calibri"/>
                <w:sz w:val="18"/>
                <w:szCs w:val="18"/>
              </w:rPr>
            </w:pPr>
            <w:r>
              <w:rPr>
                <w:rFonts w:eastAsia="Calibri"/>
                <w:sz w:val="18"/>
                <w:szCs w:val="18"/>
              </w:rPr>
              <w:t>965,68</w:t>
            </w:r>
          </w:p>
        </w:tc>
        <w:tc>
          <w:tcPr>
            <w:tcW w:w="1560" w:type="dxa"/>
          </w:tcPr>
          <w:p w:rsidR="00422E7C" w:rsidRPr="00B53AD7" w:rsidRDefault="00422E7C" w:rsidP="007E41AE">
            <w:pPr>
              <w:jc w:val="center"/>
              <w:rPr>
                <w:rFonts w:eastAsia="Calibri"/>
                <w:sz w:val="18"/>
                <w:szCs w:val="18"/>
              </w:rPr>
            </w:pPr>
            <w:r>
              <w:rPr>
                <w:rFonts w:eastAsia="Times New Roman"/>
                <w:color w:val="000000"/>
                <w:sz w:val="18"/>
                <w:szCs w:val="18"/>
              </w:rPr>
              <w:t>39 </w:t>
            </w:r>
            <w:r w:rsidR="007E41AE">
              <w:rPr>
                <w:rFonts w:eastAsia="Times New Roman"/>
                <w:color w:val="000000"/>
                <w:sz w:val="18"/>
                <w:szCs w:val="18"/>
              </w:rPr>
              <w:t>686</w:t>
            </w:r>
            <w:r>
              <w:rPr>
                <w:rFonts w:eastAsia="Times New Roman"/>
                <w:color w:val="000000"/>
                <w:sz w:val="18"/>
                <w:szCs w:val="18"/>
              </w:rPr>
              <w:t>,9</w:t>
            </w:r>
            <w:r w:rsidR="007E41AE">
              <w:rPr>
                <w:rFonts w:eastAsia="Times New Roman"/>
                <w:color w:val="000000"/>
                <w:sz w:val="18"/>
                <w:szCs w:val="18"/>
              </w:rPr>
              <w:t>6</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rPr>
            </w:pPr>
            <w:r w:rsidRPr="00B53AD7">
              <w:rPr>
                <w:rFonts w:eastAsia="Calibri"/>
                <w:sz w:val="18"/>
                <w:szCs w:val="18"/>
              </w:rPr>
              <w:t xml:space="preserve">Комитет по строительству, </w:t>
            </w:r>
            <w:r w:rsidRPr="00B53AD7">
              <w:rPr>
                <w:rFonts w:eastAsia="Calibri"/>
                <w:sz w:val="18"/>
                <w:szCs w:val="18"/>
              </w:rPr>
              <w:lastRenderedPageBreak/>
              <w:t>дорожной деятельности и благоустройства городского округа Электросталь Московской области</w:t>
            </w:r>
          </w:p>
        </w:tc>
        <w:tc>
          <w:tcPr>
            <w:tcW w:w="1276" w:type="dxa"/>
            <w:vMerge w:val="restart"/>
          </w:tcPr>
          <w:p w:rsidR="00422E7C" w:rsidRPr="00B53AD7" w:rsidRDefault="00422E7C" w:rsidP="00C9565B">
            <w:pPr>
              <w:rPr>
                <w:rFonts w:eastAsia="Calibri"/>
                <w:sz w:val="18"/>
                <w:szCs w:val="18"/>
              </w:rPr>
            </w:pPr>
            <w:r w:rsidRPr="00B53AD7">
              <w:rPr>
                <w:rFonts w:eastAsia="Calibri"/>
                <w:sz w:val="18"/>
                <w:szCs w:val="18"/>
              </w:rPr>
              <w:lastRenderedPageBreak/>
              <w:t xml:space="preserve">Количество квадратных </w:t>
            </w:r>
            <w:r w:rsidRPr="00B53AD7">
              <w:rPr>
                <w:rFonts w:eastAsia="Calibri"/>
                <w:sz w:val="18"/>
                <w:szCs w:val="18"/>
              </w:rPr>
              <w:lastRenderedPageBreak/>
              <w:t xml:space="preserve">метров расселенного аварийного жилищного фонда до 01.09.2025 </w:t>
            </w:r>
            <w:proofErr w:type="gramStart"/>
            <w:r w:rsidRPr="00B53AD7">
              <w:rPr>
                <w:rFonts w:eastAsia="Calibri"/>
                <w:sz w:val="18"/>
                <w:szCs w:val="18"/>
              </w:rPr>
              <w:t>–  0</w:t>
            </w:r>
            <w:proofErr w:type="gramEnd"/>
            <w:r w:rsidRPr="00B53AD7">
              <w:rPr>
                <w:rFonts w:eastAsia="Calibri"/>
                <w:sz w:val="18"/>
                <w:szCs w:val="18"/>
              </w:rPr>
              <w:t>,363</w:t>
            </w:r>
          </w:p>
          <w:p w:rsidR="00422E7C" w:rsidRPr="00B53AD7" w:rsidRDefault="00422E7C" w:rsidP="00C9565B">
            <w:pPr>
              <w:rPr>
                <w:rFonts w:eastAsia="Calibri"/>
                <w:sz w:val="18"/>
                <w:szCs w:val="18"/>
              </w:rPr>
            </w:pPr>
            <w:r w:rsidRPr="00B53AD7">
              <w:rPr>
                <w:rFonts w:eastAsia="Calibri"/>
                <w:sz w:val="18"/>
                <w:szCs w:val="18"/>
              </w:rPr>
              <w:t xml:space="preserve">тыс. </w:t>
            </w:r>
            <w:proofErr w:type="spellStart"/>
            <w:r w:rsidRPr="00B53AD7">
              <w:rPr>
                <w:rFonts w:eastAsia="Calibri"/>
                <w:sz w:val="18"/>
                <w:szCs w:val="18"/>
              </w:rPr>
              <w:t>кв.м</w:t>
            </w:r>
            <w:proofErr w:type="spellEnd"/>
          </w:p>
        </w:tc>
      </w:tr>
      <w:tr w:rsidR="00422E7C" w:rsidRPr="00B53AD7" w:rsidTr="00420DAD">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autoSpaceDE w:val="0"/>
              <w:autoSpaceDN w:val="0"/>
              <w:adjustRightInd w:val="0"/>
              <w:ind w:firstLine="73"/>
              <w:rPr>
                <w:rFonts w:eastAsia="Times New Roman"/>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Фонда </w:t>
            </w:r>
            <w:r w:rsidRPr="00B53AD7">
              <w:rPr>
                <w:rFonts w:eastAsia="Calibri"/>
                <w:sz w:val="18"/>
                <w:szCs w:val="18"/>
              </w:rPr>
              <w:lastRenderedPageBreak/>
              <w:t>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lastRenderedPageBreak/>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30 489,48</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60" w:type="dxa"/>
          </w:tcPr>
          <w:p w:rsidR="00422E7C" w:rsidRPr="00B53AD7" w:rsidRDefault="00422E7C" w:rsidP="00CE03FB">
            <w:pPr>
              <w:jc w:val="center"/>
              <w:rPr>
                <w:rFonts w:eastAsia="Calibri"/>
                <w:sz w:val="18"/>
                <w:szCs w:val="18"/>
              </w:rPr>
            </w:pPr>
            <w:r>
              <w:rPr>
                <w:rFonts w:eastAsia="Times New Roman"/>
                <w:color w:val="000000"/>
                <w:sz w:val="18"/>
                <w:szCs w:val="18"/>
              </w:rPr>
              <w:t>30 489,48</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276" w:type="dxa"/>
            <w:vMerge/>
          </w:tcPr>
          <w:p w:rsidR="00422E7C" w:rsidRPr="00B53AD7" w:rsidRDefault="00422E7C" w:rsidP="00C9565B">
            <w:pPr>
              <w:rPr>
                <w:rFonts w:eastAsia="Calibri"/>
                <w:sz w:val="18"/>
                <w:szCs w:val="18"/>
              </w:rPr>
            </w:pPr>
          </w:p>
        </w:tc>
      </w:tr>
      <w:tr w:rsidR="00422E7C" w:rsidRPr="00B53AD7" w:rsidTr="00B86177">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ind w:firstLine="73"/>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sz w:val="18"/>
                <w:szCs w:val="18"/>
              </w:rPr>
            </w:pPr>
            <w:r w:rsidRPr="00B53AD7">
              <w:rPr>
                <w:rFonts w:eastAsia="Times New Roman"/>
                <w:sz w:val="18"/>
                <w:szCs w:val="18"/>
              </w:rPr>
              <w:t>8 079,71</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E03FB">
            <w:pPr>
              <w:jc w:val="center"/>
              <w:rPr>
                <w:rFonts w:eastAsia="Calibri"/>
                <w:sz w:val="18"/>
                <w:szCs w:val="18"/>
              </w:rPr>
            </w:pPr>
            <w:r w:rsidRPr="00B53AD7">
              <w:rPr>
                <w:rFonts w:eastAsia="Times New Roman"/>
                <w:color w:val="000000"/>
                <w:sz w:val="18"/>
                <w:szCs w:val="18"/>
              </w:rPr>
              <w:t>965,68</w:t>
            </w:r>
          </w:p>
        </w:tc>
        <w:tc>
          <w:tcPr>
            <w:tcW w:w="1560" w:type="dxa"/>
          </w:tcPr>
          <w:p w:rsidR="00422E7C" w:rsidRPr="00B53AD7" w:rsidRDefault="00422E7C" w:rsidP="00CE03FB">
            <w:pPr>
              <w:jc w:val="center"/>
              <w:rPr>
                <w:rFonts w:eastAsia="Calibri"/>
                <w:sz w:val="18"/>
                <w:szCs w:val="18"/>
              </w:rPr>
            </w:pPr>
            <w:r w:rsidRPr="00B53AD7">
              <w:rPr>
                <w:rFonts w:eastAsia="Times New Roman"/>
                <w:sz w:val="18"/>
                <w:szCs w:val="18"/>
              </w:rPr>
              <w:t>7 114,03</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276" w:type="dxa"/>
            <w:vMerge/>
          </w:tcPr>
          <w:p w:rsidR="00422E7C" w:rsidRPr="00B53AD7" w:rsidRDefault="00422E7C" w:rsidP="00C9565B">
            <w:pPr>
              <w:rPr>
                <w:rFonts w:eastAsia="Calibri"/>
                <w:sz w:val="18"/>
                <w:szCs w:val="18"/>
              </w:rPr>
            </w:pPr>
          </w:p>
        </w:tc>
      </w:tr>
      <w:tr w:rsidR="00422E7C" w:rsidRPr="00B53AD7" w:rsidTr="00B87A61">
        <w:trPr>
          <w:trHeight w:val="932"/>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Times New Roman"/>
                <w:sz w:val="18"/>
                <w:szCs w:val="18"/>
              </w:rPr>
              <w:t>2 083,45</w:t>
            </w:r>
          </w:p>
        </w:tc>
        <w:tc>
          <w:tcPr>
            <w:tcW w:w="85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422E7C" w:rsidRPr="00B53AD7" w:rsidRDefault="00422E7C" w:rsidP="00CE03FB">
            <w:pPr>
              <w:jc w:val="center"/>
              <w:rPr>
                <w:rFonts w:eastAsia="Calibri"/>
                <w:sz w:val="18"/>
                <w:szCs w:val="18"/>
              </w:rPr>
            </w:pPr>
            <w:r>
              <w:rPr>
                <w:rFonts w:eastAsia="Times New Roman"/>
                <w:color w:val="000000"/>
                <w:sz w:val="18"/>
                <w:szCs w:val="18"/>
              </w:rPr>
              <w:t>0,00</w:t>
            </w:r>
          </w:p>
        </w:tc>
        <w:tc>
          <w:tcPr>
            <w:tcW w:w="1560" w:type="dxa"/>
            <w:tcBorders>
              <w:bottom w:val="single" w:sz="4" w:space="0" w:color="auto"/>
            </w:tcBorders>
          </w:tcPr>
          <w:p w:rsidR="00422E7C" w:rsidRPr="00B53AD7" w:rsidRDefault="00422E7C" w:rsidP="00CE03FB">
            <w:pPr>
              <w:jc w:val="center"/>
              <w:rPr>
                <w:rFonts w:eastAsia="Calibri"/>
                <w:sz w:val="18"/>
                <w:szCs w:val="18"/>
              </w:rPr>
            </w:pPr>
            <w:r>
              <w:rPr>
                <w:rFonts w:eastAsia="Times New Roman"/>
                <w:sz w:val="18"/>
                <w:szCs w:val="18"/>
              </w:rPr>
              <w:t>2 083,45</w:t>
            </w:r>
          </w:p>
        </w:tc>
        <w:tc>
          <w:tcPr>
            <w:tcW w:w="1276"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276" w:type="dxa"/>
            <w:vMerge/>
            <w:tcBorders>
              <w:bottom w:val="single" w:sz="4" w:space="0" w:color="auto"/>
            </w:tcBorders>
          </w:tcPr>
          <w:p w:rsidR="00422E7C" w:rsidRPr="00B53AD7" w:rsidRDefault="00422E7C" w:rsidP="00C9565B">
            <w:pPr>
              <w:jc w:val="center"/>
              <w:rPr>
                <w:rFonts w:eastAsia="Calibri"/>
                <w:sz w:val="18"/>
                <w:szCs w:val="18"/>
              </w:rPr>
            </w:pP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0" w:name="sub_1012"/>
    </w:p>
    <w:p w:rsidR="00CE03FB" w:rsidRDefault="00CE03FB">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proofErr w:type="gramStart"/>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proofErr w:type="gramEnd"/>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47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1276"/>
        <w:gridCol w:w="26"/>
      </w:tblGrid>
      <w:tr w:rsidR="00B53AD7" w:rsidRPr="00CE03FB" w:rsidTr="00CE03FB">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493" w:type="dxa"/>
            <w:gridSpan w:val="9"/>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 xml:space="preserve">Комитет по строительству, дорожной деятельности и благоустройства Администрации городского </w:t>
            </w:r>
            <w:proofErr w:type="gramStart"/>
            <w:r w:rsidRPr="00CE03FB">
              <w:rPr>
                <w:rFonts w:ascii="Times New Roman" w:eastAsia="Calibri" w:hAnsi="Times New Roman" w:cs="Times New Roman"/>
                <w:sz w:val="24"/>
                <w:szCs w:val="24"/>
                <w:lang w:eastAsia="en-US"/>
              </w:rPr>
              <w:t>округа  Электросталь</w:t>
            </w:r>
            <w:proofErr w:type="gramEnd"/>
            <w:r w:rsidRPr="00CE03FB">
              <w:rPr>
                <w:rFonts w:ascii="Times New Roman" w:eastAsia="Calibri" w:hAnsi="Times New Roman" w:cs="Times New Roman"/>
                <w:sz w:val="24"/>
                <w:szCs w:val="24"/>
                <w:lang w:eastAsia="en-US"/>
              </w:rPr>
              <w:t xml:space="preserve"> Московской области</w:t>
            </w:r>
          </w:p>
        </w:tc>
      </w:tr>
      <w:tr w:rsidR="00B53AD7" w:rsidRPr="00CE03FB" w:rsidTr="00CE03FB">
        <w:trPr>
          <w:gridAfter w:val="1"/>
          <w:wAfter w:w="26" w:type="dxa"/>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797"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E03FB">
        <w:trPr>
          <w:gridAfter w:val="1"/>
          <w:wAfter w:w="26" w:type="dxa"/>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1276"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E03FB">
        <w:trPr>
          <w:gridAfter w:val="1"/>
          <w:wAfter w:w="26" w:type="dxa"/>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 xml:space="preserve">Администрации городского </w:t>
            </w:r>
            <w:proofErr w:type="gramStart"/>
            <w:r w:rsidRPr="00CE03FB">
              <w:rPr>
                <w:rFonts w:ascii="Times New Roman" w:eastAsia="Calibri" w:hAnsi="Times New Roman" w:cs="Times New Roman"/>
                <w:sz w:val="24"/>
                <w:szCs w:val="24"/>
                <w:lang w:eastAsia="en-US"/>
              </w:rPr>
              <w:t>округа  Электросталь</w:t>
            </w:r>
            <w:proofErr w:type="gramEnd"/>
            <w:r w:rsidRPr="00CE03FB">
              <w:rPr>
                <w:rFonts w:ascii="Times New Roman" w:eastAsia="Calibri" w:hAnsi="Times New Roman" w:cs="Times New Roman"/>
                <w:sz w:val="24"/>
                <w:szCs w:val="24"/>
                <w:lang w:eastAsia="en-US"/>
              </w:rPr>
              <w:t xml:space="preserve">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E03FB">
        <w:trPr>
          <w:gridAfter w:val="1"/>
          <w:wAfter w:w="26" w:type="dxa"/>
        </w:trPr>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E03FB">
        <w:trPr>
          <w:gridAfter w:val="1"/>
          <w:wAfter w:w="26" w:type="dxa"/>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организационное </w:t>
      </w:r>
      <w:proofErr w:type="gramStart"/>
      <w:r w:rsidRPr="00B53AD7">
        <w:rPr>
          <w:rFonts w:ascii="Times New Roman" w:eastAsia="Times New Roman" w:hAnsi="Times New Roman" w:cs="Times New Roman"/>
          <w:sz w:val="24"/>
          <w:szCs w:val="24"/>
        </w:rPr>
        <w:t>обеспечение  городского</w:t>
      </w:r>
      <w:proofErr w:type="gramEnd"/>
      <w:r w:rsidRPr="00B53AD7">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B53AD7">
        <w:rPr>
          <w:rFonts w:ascii="Times New Roman" w:eastAsia="Calibri" w:hAnsi="Times New Roman" w:cs="Times New Roman"/>
          <w:sz w:val="24"/>
          <w:szCs w:val="24"/>
          <w:lang w:eastAsia="en-US"/>
        </w:rPr>
        <w:t>энергоэффективных</w:t>
      </w:r>
      <w:proofErr w:type="spellEnd"/>
      <w:r w:rsidRPr="00B53AD7">
        <w:rPr>
          <w:rFonts w:ascii="Times New Roman" w:eastAsia="Calibri" w:hAnsi="Times New Roman" w:cs="Times New Roman"/>
          <w:sz w:val="24"/>
          <w:szCs w:val="24"/>
          <w:lang w:eastAsia="en-US"/>
        </w:rPr>
        <w:t xml:space="preserve">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B53AD7">
        <w:rPr>
          <w:rFonts w:ascii="Times New Roman" w:eastAsia="Calibri" w:hAnsi="Times New Roman" w:cs="Times New Roman"/>
          <w:sz w:val="24"/>
          <w:szCs w:val="24"/>
          <w:lang w:eastAsia="en-US"/>
        </w:rPr>
        <w:t>энергоэффективности</w:t>
      </w:r>
      <w:proofErr w:type="spellEnd"/>
      <w:r w:rsidRPr="00B53AD7">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B53AD7">
        <w:rPr>
          <w:rFonts w:ascii="Times New Roman" w:eastAsia="Calibri" w:hAnsi="Times New Roman" w:cs="Times New Roman"/>
          <w:sz w:val="24"/>
          <w:szCs w:val="24"/>
          <w:lang w:eastAsia="en-US"/>
        </w:rPr>
        <w:t>территории  городского</w:t>
      </w:r>
      <w:proofErr w:type="gramEnd"/>
      <w:r w:rsidRPr="00B53AD7">
        <w:rPr>
          <w:rFonts w:ascii="Times New Roman" w:eastAsia="Calibri" w:hAnsi="Times New Roman" w:cs="Times New Roman"/>
          <w:sz w:val="24"/>
          <w:szCs w:val="24"/>
          <w:lang w:eastAsia="en-US"/>
        </w:rPr>
        <w:t xml:space="preserve">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DE61FD" w:rsidRDefault="00DE61FD">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451"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1417"/>
      </w:tblGrid>
      <w:tr w:rsidR="00AF6582" w:rsidRPr="00B53AD7" w:rsidTr="00DE61FD">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w:t>
            </w:r>
            <w:proofErr w:type="spellStart"/>
            <w:r w:rsidRPr="00B53AD7">
              <w:rPr>
                <w:rFonts w:eastAsia="Calibri"/>
                <w:sz w:val="16"/>
                <w:szCs w:val="16"/>
              </w:rPr>
              <w:t>тыс.руб</w:t>
            </w:r>
            <w:proofErr w:type="spellEnd"/>
            <w:r w:rsidRPr="00B53AD7">
              <w:rPr>
                <w:rFonts w:eastAsia="Calibri"/>
                <w:sz w:val="16"/>
                <w:szCs w:val="16"/>
              </w:rPr>
              <w:t>.)</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w:t>
            </w:r>
            <w:proofErr w:type="spellStart"/>
            <w:r w:rsidRPr="00B53AD7">
              <w:rPr>
                <w:rFonts w:eastAsia="Calibri"/>
                <w:sz w:val="16"/>
                <w:szCs w:val="16"/>
              </w:rPr>
              <w:t>тыс.руб</w:t>
            </w:r>
            <w:proofErr w:type="spellEnd"/>
            <w:r w:rsidRPr="00B53AD7">
              <w:rPr>
                <w:rFonts w:eastAsia="Calibri"/>
                <w:sz w:val="16"/>
                <w:szCs w:val="16"/>
              </w:rPr>
              <w:t>.)</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w:t>
            </w:r>
            <w:proofErr w:type="spellStart"/>
            <w:r w:rsidRPr="00B53AD7">
              <w:rPr>
                <w:rFonts w:eastAsia="Calibri"/>
                <w:sz w:val="16"/>
                <w:szCs w:val="16"/>
              </w:rPr>
              <w:t>тыс.руб</w:t>
            </w:r>
            <w:proofErr w:type="spellEnd"/>
            <w:r w:rsidRPr="00B53AD7">
              <w:rPr>
                <w:rFonts w:eastAsia="Calibri"/>
                <w:sz w:val="16"/>
                <w:szCs w:val="16"/>
              </w:rPr>
              <w:t>.)</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1417"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1730C7">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1417" w:type="dxa"/>
            <w:vMerge/>
          </w:tcPr>
          <w:p w:rsidR="00422E7C" w:rsidRPr="00B53AD7" w:rsidRDefault="00422E7C" w:rsidP="00C9565B">
            <w:pPr>
              <w:jc w:val="both"/>
              <w:rPr>
                <w:rFonts w:eastAsia="Calibri"/>
                <w:sz w:val="16"/>
                <w:szCs w:val="16"/>
              </w:rPr>
            </w:pPr>
          </w:p>
        </w:tc>
      </w:tr>
      <w:tr w:rsidR="00422E7C" w:rsidRPr="00B53AD7" w:rsidTr="00225BDB">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1417"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DE61FD">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DE61FD" w:rsidP="00C9565B">
            <w:pPr>
              <w:rPr>
                <w:rFonts w:eastAsia="Calibri"/>
                <w:sz w:val="16"/>
                <w:szCs w:val="16"/>
                <w:highlight w:val="yellow"/>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Borders>
              <w:bottom w:val="single" w:sz="4" w:space="0" w:color="auto"/>
            </w:tcBorders>
          </w:tcPr>
          <w:p w:rsidR="00DE61FD" w:rsidRPr="00B53AD7" w:rsidRDefault="00DE61FD" w:rsidP="00C9565B">
            <w:pPr>
              <w:rPr>
                <w:rFonts w:eastAsia="Calibri"/>
                <w:sz w:val="16"/>
                <w:szCs w:val="16"/>
              </w:rPr>
            </w:pPr>
          </w:p>
        </w:tc>
      </w:tr>
      <w:tr w:rsidR="00DE61FD" w:rsidRPr="00B53AD7" w:rsidTr="00DE61FD">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DE61FD" w:rsidP="00C9565B">
            <w:pPr>
              <w:rPr>
                <w:rFonts w:eastAsia="Calibri"/>
                <w:sz w:val="16"/>
                <w:szCs w:val="16"/>
                <w:highlight w:val="yellow"/>
              </w:rPr>
            </w:pPr>
            <w:r w:rsidRPr="00B53AD7">
              <w:rPr>
                <w:rFonts w:eastAsia="Calibri"/>
                <w:sz w:val="16"/>
                <w:szCs w:val="16"/>
              </w:rPr>
              <w:t xml:space="preserve">Комитет по </w:t>
            </w:r>
          </w:p>
          <w:p w:rsidR="00DE61FD" w:rsidRPr="00B53AD7" w:rsidRDefault="00DE61FD" w:rsidP="00C9565B">
            <w:pPr>
              <w:rPr>
                <w:rFonts w:eastAsia="Calibri"/>
                <w:sz w:val="16"/>
                <w:szCs w:val="16"/>
                <w:highlight w:val="yellow"/>
              </w:rPr>
            </w:pPr>
            <w:r w:rsidRPr="00B53AD7">
              <w:rPr>
                <w:rFonts w:eastAsia="Calibri"/>
                <w:sz w:val="16"/>
                <w:szCs w:val="16"/>
              </w:rPr>
              <w:t>строительству, дорожной деятельности и благоустройства городского округа Электросталь Московской области</w:t>
            </w:r>
          </w:p>
        </w:tc>
        <w:tc>
          <w:tcPr>
            <w:tcW w:w="1417"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аварийного жилищного фонда – 0,096 тыс. человек</w:t>
            </w:r>
          </w:p>
        </w:tc>
      </w:tr>
      <w:tr w:rsidR="00ED5319" w:rsidRPr="00B53AD7" w:rsidTr="00153C99">
        <w:tc>
          <w:tcPr>
            <w:tcW w:w="454" w:type="dxa"/>
          </w:tcPr>
          <w:p w:rsidR="00ED5319" w:rsidRPr="00B53AD7" w:rsidRDefault="00ED5319" w:rsidP="0049420D">
            <w:pPr>
              <w:jc w:val="center"/>
              <w:rPr>
                <w:rFonts w:eastAsia="Calibri"/>
                <w:sz w:val="16"/>
                <w:szCs w:val="16"/>
              </w:rPr>
            </w:pPr>
            <w:r>
              <w:rPr>
                <w:rFonts w:eastAsia="Calibri"/>
                <w:sz w:val="16"/>
                <w:szCs w:val="16"/>
              </w:rPr>
              <w:t>2.</w:t>
            </w:r>
          </w:p>
        </w:tc>
        <w:tc>
          <w:tcPr>
            <w:tcW w:w="1560" w:type="dxa"/>
          </w:tcPr>
          <w:p w:rsidR="00ED5319" w:rsidRPr="00B53AD7" w:rsidRDefault="00ED5319" w:rsidP="0049420D">
            <w:pPr>
              <w:autoSpaceDE w:val="0"/>
              <w:autoSpaceDN w:val="0"/>
              <w:adjustRightInd w:val="0"/>
              <w:rPr>
                <w:rFonts w:eastAsia="Calibri"/>
                <w:sz w:val="16"/>
                <w:szCs w:val="16"/>
              </w:rPr>
            </w:pPr>
            <w:r>
              <w:rPr>
                <w:rFonts w:eastAsia="Calibri"/>
                <w:sz w:val="16"/>
                <w:szCs w:val="16"/>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c>
          <w:tcPr>
            <w:tcW w:w="1134" w:type="dxa"/>
          </w:tcPr>
          <w:p w:rsidR="00ED5319" w:rsidRDefault="00ED5319" w:rsidP="0049420D">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49420D">
            <w:pPr>
              <w:jc w:val="center"/>
              <w:rPr>
                <w:rFonts w:eastAsia="Calibri"/>
                <w:sz w:val="16"/>
                <w:szCs w:val="16"/>
              </w:rPr>
            </w:pPr>
            <w:r>
              <w:rPr>
                <w:rFonts w:eastAsia="Calibri"/>
                <w:sz w:val="16"/>
                <w:szCs w:val="16"/>
              </w:rPr>
              <w:t>0,0</w:t>
            </w:r>
          </w:p>
        </w:tc>
        <w:tc>
          <w:tcPr>
            <w:tcW w:w="1134" w:type="dxa"/>
          </w:tcPr>
          <w:p w:rsidR="00ED5319" w:rsidRDefault="00ED5319" w:rsidP="0049420D">
            <w:pPr>
              <w:jc w:val="center"/>
            </w:pPr>
            <w:r w:rsidRPr="00E8642B">
              <w:rPr>
                <w:rFonts w:eastAsia="Calibri"/>
                <w:sz w:val="16"/>
                <w:szCs w:val="16"/>
              </w:rPr>
              <w:t>0,0</w:t>
            </w:r>
          </w:p>
        </w:tc>
        <w:tc>
          <w:tcPr>
            <w:tcW w:w="709" w:type="dxa"/>
          </w:tcPr>
          <w:p w:rsidR="00ED5319" w:rsidRDefault="00ED5319" w:rsidP="0049420D">
            <w:pPr>
              <w:jc w:val="center"/>
            </w:pPr>
            <w:r w:rsidRPr="00E8642B">
              <w:rPr>
                <w:rFonts w:eastAsia="Calibri"/>
                <w:sz w:val="16"/>
                <w:szCs w:val="16"/>
              </w:rPr>
              <w:t>0,0</w:t>
            </w:r>
          </w:p>
        </w:tc>
        <w:tc>
          <w:tcPr>
            <w:tcW w:w="680" w:type="dxa"/>
          </w:tcPr>
          <w:p w:rsidR="00ED5319" w:rsidRDefault="00ED5319" w:rsidP="0049420D">
            <w:pPr>
              <w:jc w:val="center"/>
            </w:pPr>
            <w:r w:rsidRPr="00E8642B">
              <w:rPr>
                <w:rFonts w:eastAsia="Calibri"/>
                <w:sz w:val="16"/>
                <w:szCs w:val="16"/>
              </w:rPr>
              <w:t>0,0</w:t>
            </w:r>
          </w:p>
        </w:tc>
        <w:tc>
          <w:tcPr>
            <w:tcW w:w="680" w:type="dxa"/>
          </w:tcPr>
          <w:p w:rsidR="00ED5319" w:rsidRDefault="00ED5319" w:rsidP="0049420D">
            <w:pPr>
              <w:jc w:val="center"/>
            </w:pPr>
            <w:r w:rsidRPr="00E8642B">
              <w:rPr>
                <w:rFonts w:eastAsia="Calibri"/>
                <w:sz w:val="16"/>
                <w:szCs w:val="16"/>
              </w:rPr>
              <w:t>0,0</w:t>
            </w:r>
          </w:p>
        </w:tc>
        <w:tc>
          <w:tcPr>
            <w:tcW w:w="709" w:type="dxa"/>
          </w:tcPr>
          <w:p w:rsidR="00ED5319" w:rsidRDefault="00ED5319" w:rsidP="0049420D">
            <w:pPr>
              <w:jc w:val="center"/>
            </w:pPr>
            <w:r w:rsidRPr="00E8642B">
              <w:rPr>
                <w:rFonts w:eastAsia="Calibri"/>
                <w:sz w:val="16"/>
                <w:szCs w:val="16"/>
              </w:rPr>
              <w:t>0,0</w:t>
            </w:r>
          </w:p>
        </w:tc>
        <w:tc>
          <w:tcPr>
            <w:tcW w:w="709" w:type="dxa"/>
          </w:tcPr>
          <w:p w:rsidR="00ED5319" w:rsidRDefault="00ED5319" w:rsidP="0049420D">
            <w:pPr>
              <w:jc w:val="center"/>
            </w:pPr>
            <w:r w:rsidRPr="00E8642B">
              <w:rPr>
                <w:rFonts w:eastAsia="Calibri"/>
                <w:sz w:val="16"/>
                <w:szCs w:val="16"/>
              </w:rPr>
              <w:t>0,0</w:t>
            </w:r>
          </w:p>
        </w:tc>
        <w:tc>
          <w:tcPr>
            <w:tcW w:w="1333" w:type="dxa"/>
          </w:tcPr>
          <w:p w:rsidR="00ED5319" w:rsidRDefault="00ED5319" w:rsidP="0049420D">
            <w:pPr>
              <w:jc w:val="center"/>
            </w:pPr>
            <w:r w:rsidRPr="00E8642B">
              <w:rPr>
                <w:rFonts w:eastAsia="Calibri"/>
                <w:sz w:val="16"/>
                <w:szCs w:val="16"/>
              </w:rPr>
              <w:t>0,0</w:t>
            </w:r>
          </w:p>
        </w:tc>
        <w:tc>
          <w:tcPr>
            <w:tcW w:w="1701" w:type="dxa"/>
          </w:tcPr>
          <w:p w:rsidR="00ED5319" w:rsidRPr="00B53AD7" w:rsidRDefault="00ED5319" w:rsidP="0049420D">
            <w:pPr>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r>
              <w:rPr>
                <w:rFonts w:eastAsia="Calibri"/>
                <w:sz w:val="16"/>
                <w:szCs w:val="16"/>
              </w:rPr>
              <w:t xml:space="preserve"> </w:t>
            </w:r>
          </w:p>
        </w:tc>
        <w:tc>
          <w:tcPr>
            <w:tcW w:w="1417" w:type="dxa"/>
          </w:tcPr>
          <w:p w:rsidR="00ED5319" w:rsidRPr="00B53AD7" w:rsidRDefault="00ED5319" w:rsidP="0049420D">
            <w:pPr>
              <w:rPr>
                <w:rFonts w:eastAsia="Calibri"/>
                <w:sz w:val="16"/>
                <w:szCs w:val="16"/>
              </w:rPr>
            </w:pPr>
            <w:r>
              <w:rPr>
                <w:rFonts w:eastAsia="Calibri"/>
                <w:sz w:val="16"/>
                <w:szCs w:val="16"/>
              </w:rPr>
              <w:t>Количество граждан, переселенных из аварийного жилищного фонда- 7,30 тыс. человек</w:t>
            </w:r>
          </w:p>
        </w:tc>
      </w:tr>
      <w:tr w:rsidR="00ED5319" w:rsidRPr="00B53AD7" w:rsidTr="00153C99">
        <w:tc>
          <w:tcPr>
            <w:tcW w:w="454" w:type="dxa"/>
          </w:tcPr>
          <w:p w:rsidR="00ED5319" w:rsidRDefault="00ED5319" w:rsidP="0049420D">
            <w:pPr>
              <w:jc w:val="center"/>
              <w:rPr>
                <w:rFonts w:eastAsia="Calibri"/>
                <w:sz w:val="16"/>
                <w:szCs w:val="16"/>
              </w:rPr>
            </w:pPr>
          </w:p>
          <w:p w:rsidR="00ED5319" w:rsidRPr="00B53AD7" w:rsidRDefault="00ED5319" w:rsidP="0049420D">
            <w:pPr>
              <w:jc w:val="center"/>
              <w:rPr>
                <w:rFonts w:eastAsia="Calibri"/>
                <w:sz w:val="16"/>
                <w:szCs w:val="16"/>
              </w:rPr>
            </w:pPr>
            <w:r>
              <w:rPr>
                <w:rFonts w:eastAsia="Calibri"/>
                <w:sz w:val="16"/>
                <w:szCs w:val="16"/>
              </w:rPr>
              <w:t>2.1</w:t>
            </w:r>
          </w:p>
        </w:tc>
        <w:tc>
          <w:tcPr>
            <w:tcW w:w="1560" w:type="dxa"/>
          </w:tcPr>
          <w:p w:rsidR="00ED5319" w:rsidRPr="00B53AD7" w:rsidRDefault="00ED5319" w:rsidP="0049420D">
            <w:pPr>
              <w:autoSpaceDE w:val="0"/>
              <w:autoSpaceDN w:val="0"/>
              <w:adjustRightInd w:val="0"/>
              <w:rPr>
                <w:rFonts w:eastAsia="Calibri"/>
                <w:sz w:val="16"/>
                <w:szCs w:val="16"/>
              </w:rPr>
            </w:pPr>
            <w:r>
              <w:rPr>
                <w:rFonts w:eastAsia="Calibri"/>
                <w:sz w:val="16"/>
                <w:szCs w:val="16"/>
              </w:rPr>
              <w:t xml:space="preserve">Мероприятие 4.1 Обеспечение мероприятий по переселению граждан в рамках адресной программы </w:t>
            </w:r>
            <w:r>
              <w:rPr>
                <w:rFonts w:eastAsia="Calibri"/>
                <w:sz w:val="16"/>
                <w:szCs w:val="16"/>
              </w:rPr>
              <w:lastRenderedPageBreak/>
              <w:t>Московской области на 2016-2020</w:t>
            </w:r>
          </w:p>
        </w:tc>
        <w:tc>
          <w:tcPr>
            <w:tcW w:w="1134" w:type="dxa"/>
          </w:tcPr>
          <w:p w:rsidR="00ED5319" w:rsidRDefault="00ED5319" w:rsidP="0049420D">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49420D">
            <w:pPr>
              <w:jc w:val="center"/>
              <w:rPr>
                <w:rFonts w:eastAsia="Calibri"/>
                <w:sz w:val="16"/>
                <w:szCs w:val="16"/>
              </w:rPr>
            </w:pPr>
            <w:r>
              <w:rPr>
                <w:rFonts w:eastAsia="Calibri"/>
                <w:sz w:val="16"/>
                <w:szCs w:val="16"/>
              </w:rPr>
              <w:t>0,0</w:t>
            </w:r>
          </w:p>
        </w:tc>
        <w:tc>
          <w:tcPr>
            <w:tcW w:w="1134" w:type="dxa"/>
          </w:tcPr>
          <w:p w:rsidR="00ED5319" w:rsidRDefault="00ED5319" w:rsidP="0049420D">
            <w:pPr>
              <w:jc w:val="center"/>
            </w:pPr>
            <w:r w:rsidRPr="00E8642B">
              <w:rPr>
                <w:rFonts w:eastAsia="Calibri"/>
                <w:sz w:val="16"/>
                <w:szCs w:val="16"/>
              </w:rPr>
              <w:t>0,0</w:t>
            </w:r>
          </w:p>
        </w:tc>
        <w:tc>
          <w:tcPr>
            <w:tcW w:w="709" w:type="dxa"/>
          </w:tcPr>
          <w:p w:rsidR="00ED5319" w:rsidRDefault="00ED5319" w:rsidP="0049420D">
            <w:pPr>
              <w:jc w:val="center"/>
            </w:pPr>
            <w:r w:rsidRPr="00E8642B">
              <w:rPr>
                <w:rFonts w:eastAsia="Calibri"/>
                <w:sz w:val="16"/>
                <w:szCs w:val="16"/>
              </w:rPr>
              <w:t>0,0</w:t>
            </w:r>
          </w:p>
        </w:tc>
        <w:tc>
          <w:tcPr>
            <w:tcW w:w="680" w:type="dxa"/>
          </w:tcPr>
          <w:p w:rsidR="00ED5319" w:rsidRDefault="00ED5319" w:rsidP="0049420D">
            <w:pPr>
              <w:jc w:val="center"/>
            </w:pPr>
            <w:r w:rsidRPr="00E8642B">
              <w:rPr>
                <w:rFonts w:eastAsia="Calibri"/>
                <w:sz w:val="16"/>
                <w:szCs w:val="16"/>
              </w:rPr>
              <w:t>0,0</w:t>
            </w:r>
          </w:p>
        </w:tc>
        <w:tc>
          <w:tcPr>
            <w:tcW w:w="680" w:type="dxa"/>
          </w:tcPr>
          <w:p w:rsidR="00ED5319" w:rsidRDefault="00ED5319" w:rsidP="0049420D">
            <w:pPr>
              <w:jc w:val="center"/>
            </w:pPr>
            <w:r w:rsidRPr="00E8642B">
              <w:rPr>
                <w:rFonts w:eastAsia="Calibri"/>
                <w:sz w:val="16"/>
                <w:szCs w:val="16"/>
              </w:rPr>
              <w:t>0,0</w:t>
            </w:r>
          </w:p>
        </w:tc>
        <w:tc>
          <w:tcPr>
            <w:tcW w:w="709" w:type="dxa"/>
          </w:tcPr>
          <w:p w:rsidR="00ED5319" w:rsidRDefault="00ED5319" w:rsidP="0049420D">
            <w:pPr>
              <w:jc w:val="center"/>
            </w:pPr>
            <w:r w:rsidRPr="00E8642B">
              <w:rPr>
                <w:rFonts w:eastAsia="Calibri"/>
                <w:sz w:val="16"/>
                <w:szCs w:val="16"/>
              </w:rPr>
              <w:t>0,0</w:t>
            </w:r>
          </w:p>
        </w:tc>
        <w:tc>
          <w:tcPr>
            <w:tcW w:w="709" w:type="dxa"/>
          </w:tcPr>
          <w:p w:rsidR="00ED5319" w:rsidRDefault="00ED5319" w:rsidP="0049420D">
            <w:pPr>
              <w:jc w:val="center"/>
            </w:pPr>
            <w:r w:rsidRPr="00E8642B">
              <w:rPr>
                <w:rFonts w:eastAsia="Calibri"/>
                <w:sz w:val="16"/>
                <w:szCs w:val="16"/>
              </w:rPr>
              <w:t>0,0</w:t>
            </w:r>
          </w:p>
        </w:tc>
        <w:tc>
          <w:tcPr>
            <w:tcW w:w="1333" w:type="dxa"/>
          </w:tcPr>
          <w:p w:rsidR="00ED5319" w:rsidRDefault="00ED5319" w:rsidP="0049420D">
            <w:pPr>
              <w:jc w:val="center"/>
            </w:pPr>
            <w:r w:rsidRPr="00E8642B">
              <w:rPr>
                <w:rFonts w:eastAsia="Calibri"/>
                <w:sz w:val="16"/>
                <w:szCs w:val="16"/>
              </w:rPr>
              <w:t>0,0</w:t>
            </w:r>
          </w:p>
        </w:tc>
        <w:tc>
          <w:tcPr>
            <w:tcW w:w="1701" w:type="dxa"/>
          </w:tcPr>
          <w:p w:rsidR="00ED5319" w:rsidRPr="00B53AD7" w:rsidRDefault="00ED5319" w:rsidP="0049420D">
            <w:pPr>
              <w:rPr>
                <w:rFonts w:eastAsia="Calibri"/>
                <w:sz w:val="16"/>
                <w:szCs w:val="16"/>
              </w:rPr>
            </w:pPr>
            <w:r w:rsidRPr="00B53AD7">
              <w:rPr>
                <w:rFonts w:eastAsia="Calibri"/>
                <w:sz w:val="16"/>
                <w:szCs w:val="16"/>
              </w:rPr>
              <w:t xml:space="preserve">Комитет по строительству, дорожной деятельности и благоустройства городского округа Электросталь </w:t>
            </w:r>
            <w:r w:rsidRPr="00B53AD7">
              <w:rPr>
                <w:rFonts w:eastAsia="Calibri"/>
                <w:sz w:val="16"/>
                <w:szCs w:val="16"/>
              </w:rPr>
              <w:lastRenderedPageBreak/>
              <w:t>Московской области</w:t>
            </w:r>
          </w:p>
        </w:tc>
        <w:tc>
          <w:tcPr>
            <w:tcW w:w="1417" w:type="dxa"/>
          </w:tcPr>
          <w:p w:rsidR="00ED5319" w:rsidRPr="00B53AD7" w:rsidRDefault="00ED5319" w:rsidP="0049420D">
            <w:pPr>
              <w:rPr>
                <w:rFonts w:eastAsia="Calibri"/>
                <w:sz w:val="16"/>
                <w:szCs w:val="16"/>
              </w:rPr>
            </w:pPr>
            <w:r>
              <w:rPr>
                <w:rFonts w:eastAsia="Calibri"/>
                <w:sz w:val="16"/>
                <w:szCs w:val="16"/>
              </w:rPr>
              <w:lastRenderedPageBreak/>
              <w:t>Количество граждан, переселенных из аварийного жилищного фонда- 7,30 тыс. человек</w:t>
            </w:r>
          </w:p>
        </w:tc>
      </w:tr>
      <w:tr w:rsidR="00ED5319" w:rsidRPr="00B53AD7" w:rsidTr="00153C99">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1417"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sectPr w:rsidR="00B53AD7" w:rsidRPr="00B53AD7" w:rsidSect="009E0D44">
      <w:pgSz w:w="16838" w:h="11906" w:orient="landscape"/>
      <w:pgMar w:top="720" w:right="720" w:bottom="720" w:left="720" w:header="113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26" w:rsidRDefault="00981E26" w:rsidP="0050592A">
      <w:pPr>
        <w:spacing w:after="0" w:line="240" w:lineRule="auto"/>
      </w:pPr>
      <w:r>
        <w:separator/>
      </w:r>
    </w:p>
  </w:endnote>
  <w:endnote w:type="continuationSeparator" w:id="0">
    <w:p w:rsidR="00981E26" w:rsidRDefault="00981E26"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Courier New"/>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26" w:rsidRDefault="00981E26" w:rsidP="0050592A">
      <w:pPr>
        <w:spacing w:after="0" w:line="240" w:lineRule="auto"/>
      </w:pPr>
      <w:r>
        <w:separator/>
      </w:r>
    </w:p>
  </w:footnote>
  <w:footnote w:type="continuationSeparator" w:id="0">
    <w:p w:rsidR="00981E26" w:rsidRDefault="00981E26"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988"/>
      <w:docPartObj>
        <w:docPartGallery w:val="Page Numbers (Top of Page)"/>
        <w:docPartUnique/>
      </w:docPartObj>
    </w:sdtPr>
    <w:sdtEndPr/>
    <w:sdtContent>
      <w:p w:rsidR="005A06EE" w:rsidRDefault="008C7706">
        <w:pPr>
          <w:pStyle w:val="a5"/>
          <w:jc w:val="center"/>
        </w:pPr>
        <w:r>
          <w:rPr>
            <w:noProof/>
          </w:rPr>
          <w:fldChar w:fldCharType="begin"/>
        </w:r>
        <w:r>
          <w:rPr>
            <w:noProof/>
          </w:rPr>
          <w:instrText xml:space="preserve"> PAGE   \* MERGEFORMAT </w:instrText>
        </w:r>
        <w:r>
          <w:rPr>
            <w:noProof/>
          </w:rPr>
          <w:fldChar w:fldCharType="separate"/>
        </w:r>
        <w:r w:rsidR="00DF0694">
          <w:rPr>
            <w:noProof/>
          </w:rPr>
          <w:t>2</w:t>
        </w:r>
        <w:r>
          <w:rPr>
            <w:noProof/>
          </w:rPr>
          <w:fldChar w:fldCharType="end"/>
        </w:r>
      </w:p>
    </w:sdtContent>
  </w:sdt>
  <w:p w:rsidR="005A06EE" w:rsidRDefault="005A06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C1D96"/>
    <w:rsid w:val="001466D7"/>
    <w:rsid w:val="00155DF2"/>
    <w:rsid w:val="00170B6B"/>
    <w:rsid w:val="001C5C98"/>
    <w:rsid w:val="002222E4"/>
    <w:rsid w:val="002351C9"/>
    <w:rsid w:val="0027547C"/>
    <w:rsid w:val="002C0602"/>
    <w:rsid w:val="002F5E17"/>
    <w:rsid w:val="00315C06"/>
    <w:rsid w:val="003355F8"/>
    <w:rsid w:val="00352CAF"/>
    <w:rsid w:val="0037613D"/>
    <w:rsid w:val="003A174A"/>
    <w:rsid w:val="00406A74"/>
    <w:rsid w:val="00422E7C"/>
    <w:rsid w:val="0050592A"/>
    <w:rsid w:val="00546CAE"/>
    <w:rsid w:val="005541BB"/>
    <w:rsid w:val="0059635A"/>
    <w:rsid w:val="005A06EE"/>
    <w:rsid w:val="005B0519"/>
    <w:rsid w:val="005D5459"/>
    <w:rsid w:val="005F7329"/>
    <w:rsid w:val="0069046E"/>
    <w:rsid w:val="007051FF"/>
    <w:rsid w:val="0073176A"/>
    <w:rsid w:val="007A717E"/>
    <w:rsid w:val="007E41AE"/>
    <w:rsid w:val="00880B23"/>
    <w:rsid w:val="00887C9F"/>
    <w:rsid w:val="00891AF6"/>
    <w:rsid w:val="008B2433"/>
    <w:rsid w:val="008C7706"/>
    <w:rsid w:val="00911138"/>
    <w:rsid w:val="00981E26"/>
    <w:rsid w:val="009A0518"/>
    <w:rsid w:val="009B0698"/>
    <w:rsid w:val="009E0D44"/>
    <w:rsid w:val="009F6BA5"/>
    <w:rsid w:val="00A07C02"/>
    <w:rsid w:val="00A8330A"/>
    <w:rsid w:val="00AB38D6"/>
    <w:rsid w:val="00AB5D65"/>
    <w:rsid w:val="00AD1B7E"/>
    <w:rsid w:val="00AF6582"/>
    <w:rsid w:val="00B53AD7"/>
    <w:rsid w:val="00BC6CC9"/>
    <w:rsid w:val="00C9565B"/>
    <w:rsid w:val="00CE03FB"/>
    <w:rsid w:val="00CE2B4D"/>
    <w:rsid w:val="00D50690"/>
    <w:rsid w:val="00D52569"/>
    <w:rsid w:val="00D8349A"/>
    <w:rsid w:val="00DB6D18"/>
    <w:rsid w:val="00DE61FD"/>
    <w:rsid w:val="00DF0694"/>
    <w:rsid w:val="00DF5509"/>
    <w:rsid w:val="00E05493"/>
    <w:rsid w:val="00E52385"/>
    <w:rsid w:val="00ED5319"/>
    <w:rsid w:val="00F15C6F"/>
    <w:rsid w:val="00F1685F"/>
    <w:rsid w:val="00F22CFE"/>
    <w:rsid w:val="00F36FF7"/>
    <w:rsid w:val="00F71268"/>
    <w:rsid w:val="00F812E7"/>
    <w:rsid w:val="00F944D4"/>
    <w:rsid w:val="00F97D4A"/>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95D55-70FB-49F0-A5AB-1A60AF77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BCC9-D202-4513-9FEF-E1F7FB2B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9029</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14</cp:revision>
  <cp:lastPrinted>2019-12-16T11:25:00Z</cp:lastPrinted>
  <dcterms:created xsi:type="dcterms:W3CDTF">2019-12-02T12:18:00Z</dcterms:created>
  <dcterms:modified xsi:type="dcterms:W3CDTF">2019-12-20T08:13:00Z</dcterms:modified>
</cp:coreProperties>
</file>