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87" w:rsidRDefault="00A90387" w:rsidP="00A9038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387" w:rsidRPr="00537687" w:rsidRDefault="00A90387" w:rsidP="00A9038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90387" w:rsidRDefault="00A90387" w:rsidP="00A9038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90387" w:rsidRPr="00FC1C14" w:rsidRDefault="00A90387" w:rsidP="00A9038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90387" w:rsidRDefault="00A90387" w:rsidP="00A9038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90387" w:rsidRPr="0058294C" w:rsidRDefault="00A90387" w:rsidP="00A9038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90387" w:rsidRDefault="00A90387" w:rsidP="00A9038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90387" w:rsidRPr="00537687" w:rsidRDefault="00A90387" w:rsidP="00A90387">
      <w:pPr>
        <w:ind w:left="-1560" w:right="-567"/>
        <w:jc w:val="center"/>
        <w:rPr>
          <w:b/>
        </w:rPr>
      </w:pPr>
    </w:p>
    <w:p w:rsidR="00A90387" w:rsidRDefault="00A90387" w:rsidP="00A9038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</w:t>
      </w:r>
      <w:r w:rsidR="005866A2">
        <w:rPr>
          <w:u w:val="single"/>
        </w:rPr>
        <w:t>15.01.2021</w:t>
      </w:r>
      <w:r>
        <w:t>____ № ____</w:t>
      </w:r>
      <w:r w:rsidR="005866A2">
        <w:rPr>
          <w:u w:val="single"/>
        </w:rPr>
        <w:t>29/1</w:t>
      </w:r>
      <w:r>
        <w:t>___</w:t>
      </w:r>
    </w:p>
    <w:p w:rsidR="00A90387" w:rsidRPr="00AF777F" w:rsidRDefault="00A90387" w:rsidP="00A90387">
      <w:pPr>
        <w:outlineLvl w:val="0"/>
      </w:pPr>
    </w:p>
    <w:p w:rsidR="00A90387" w:rsidRDefault="00A90387" w:rsidP="00A90387">
      <w:pPr>
        <w:spacing w:line="240" w:lineRule="exact"/>
        <w:jc w:val="center"/>
        <w:outlineLvl w:val="0"/>
      </w:pPr>
      <w:r>
        <w:t>Об установлении публичного сервитута</w:t>
      </w:r>
    </w:p>
    <w:p w:rsidR="00A90387" w:rsidRDefault="00A90387" w:rsidP="00A90387">
      <w:pPr>
        <w:jc w:val="center"/>
        <w:outlineLvl w:val="0"/>
      </w:pPr>
    </w:p>
    <w:p w:rsidR="00A90387" w:rsidRDefault="00A90387" w:rsidP="00A90387">
      <w:pPr>
        <w:jc w:val="both"/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 w:rsidR="002F413A">
        <w:t>ф</w:t>
      </w:r>
      <w:r>
        <w:t>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</w:t>
      </w:r>
      <w:r w:rsidR="00D452D7">
        <w:t xml:space="preserve"> постановление</w:t>
      </w:r>
      <w:r w:rsidR="002F413A">
        <w:t>м</w:t>
      </w:r>
      <w:r w:rsidR="00D452D7"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Pr="000019A1">
        <w:t xml:space="preserve"> </w:t>
      </w:r>
      <w:r w:rsidR="002F413A">
        <w:t>З</w:t>
      </w:r>
      <w:r>
        <w:t>акон</w:t>
      </w:r>
      <w:r w:rsidR="002F413A">
        <w:t>ом</w:t>
      </w:r>
      <w:r>
        <w:t xml:space="preserve"> Московской области от 07.06.1996</w:t>
      </w:r>
      <w:r w:rsidR="00D452D7">
        <w:br/>
      </w:r>
      <w:r>
        <w:t xml:space="preserve">№ 23/96-ОЗ «О регулировании земельных отношений в Московской области», </w:t>
      </w:r>
      <w:r w:rsidR="001B5CA5">
        <w:t xml:space="preserve"> распоряжением Министерства имущественных отношений Московской области от 22.11.2017 № 13ВР-1728 «О закреплении недвижимого имущества, находящегося в собственности Московской области, на праве хозяйственного ведения за Государственным унитарным предприятием Московской области «Электросеть», </w:t>
      </w:r>
      <w:r>
        <w:t>Уставом городского округа Электросталь Московской области,</w:t>
      </w:r>
      <w:r w:rsidRPr="00033E4C">
        <w:t xml:space="preserve"> </w:t>
      </w:r>
      <w:r>
        <w:t xml:space="preserve">на основании ходатайства об установлении публичного сервитута </w:t>
      </w:r>
      <w:r w:rsidR="001B5CA5">
        <w:t>государственного унитарного предприятия Московской области «Электросеть</w:t>
      </w:r>
      <w:r>
        <w:t xml:space="preserve">» (ИНН </w:t>
      </w:r>
      <w:r w:rsidR="001B5CA5">
        <w:t>5052002110</w:t>
      </w:r>
      <w:r>
        <w:t xml:space="preserve">, ОГРН </w:t>
      </w:r>
      <w:r w:rsidR="001B5CA5">
        <w:t>1025007070285</w:t>
      </w:r>
      <w:r>
        <w:t>) от 0</w:t>
      </w:r>
      <w:r w:rsidR="00240103">
        <w:t>9</w:t>
      </w:r>
      <w:r w:rsidR="001B5CA5">
        <w:t>.</w:t>
      </w:r>
      <w:r w:rsidR="00240103">
        <w:t>10</w:t>
      </w:r>
      <w:r>
        <w:t>.20</w:t>
      </w:r>
      <w:r w:rsidR="001B5CA5">
        <w:t>20</w:t>
      </w:r>
      <w:r>
        <w:t>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</w:t>
      </w:r>
      <w:r w:rsidR="001B5CA5">
        <w:t xml:space="preserve">ой области «Новости недели» от </w:t>
      </w:r>
      <w:r w:rsidR="00A33652">
        <w:t>22</w:t>
      </w:r>
      <w:r>
        <w:t>.</w:t>
      </w:r>
      <w:r w:rsidR="00A33652">
        <w:t>10</w:t>
      </w:r>
      <w:r w:rsidR="001B5CA5">
        <w:t>.2020</w:t>
      </w:r>
      <w:r>
        <w:t xml:space="preserve"> № </w:t>
      </w:r>
      <w:r w:rsidR="00A33652">
        <w:t>41</w:t>
      </w:r>
      <w:r>
        <w:t xml:space="preserve"> (</w:t>
      </w:r>
      <w:r w:rsidR="00A33652">
        <w:t>2767</w:t>
      </w:r>
      <w:r>
        <w:t>)</w:t>
      </w:r>
      <w:r w:rsidR="002F413A">
        <w:t>, «Официальный вестник» от 10.12.2020 № 48 (851)</w:t>
      </w:r>
      <w:r>
        <w:t>,</w:t>
      </w:r>
      <w:r w:rsidRPr="00653725">
        <w:t xml:space="preserve"> </w:t>
      </w:r>
      <w:r w:rsidR="00A33652">
        <w:t xml:space="preserve">на </w:t>
      </w:r>
      <w:r w:rsidRPr="000C3197">
        <w:t>официальн</w:t>
      </w:r>
      <w:r w:rsidR="00A33652">
        <w:t>ом</w:t>
      </w:r>
      <w:r w:rsidRPr="000C3197">
        <w:t xml:space="preserve"> сайт</w:t>
      </w:r>
      <w:r w:rsidR="00A33652">
        <w:t>е</w:t>
      </w:r>
      <w:r w:rsidRPr="000C3197">
        <w:t xml:space="preserve">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</w:t>
      </w:r>
      <w:r w:rsidR="00546F78">
        <w:t xml:space="preserve">24.11.2020 </w:t>
      </w:r>
      <w:r>
        <w:t xml:space="preserve">№ </w:t>
      </w:r>
      <w:r w:rsidR="00546F78">
        <w:t>173-З</w:t>
      </w:r>
      <w:r>
        <w:t xml:space="preserve">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A90387" w:rsidRPr="00435DE4" w:rsidRDefault="00A90387" w:rsidP="00A90387">
      <w:pPr>
        <w:jc w:val="both"/>
        <w:rPr>
          <w:noProof/>
        </w:rPr>
      </w:pPr>
    </w:p>
    <w:p w:rsidR="00240103" w:rsidRPr="00770521" w:rsidRDefault="00A90387" w:rsidP="00240103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="00240103" w:rsidRPr="009E7A0A">
        <w:rPr>
          <w:rFonts w:cs="Times New Roman"/>
          <w:shd w:val="clear" w:color="auto" w:fill="FFFFFF"/>
        </w:rPr>
        <w:t>Установить</w:t>
      </w:r>
      <w:r w:rsidR="00240103" w:rsidRPr="00C32D64">
        <w:rPr>
          <w:rFonts w:cs="Times New Roman"/>
          <w:shd w:val="clear" w:color="auto" w:fill="FFFFFF"/>
        </w:rPr>
        <w:t xml:space="preserve"> </w:t>
      </w:r>
      <w:r w:rsidR="00240103">
        <w:rPr>
          <w:rFonts w:cs="Times New Roman"/>
          <w:shd w:val="clear" w:color="auto" w:fill="FFFFFF"/>
        </w:rPr>
        <w:t>в пользу государственного унитарного предприятия Московской области «Электросеть»</w:t>
      </w:r>
      <w:r w:rsidR="00240103" w:rsidRPr="009E7A0A">
        <w:rPr>
          <w:rFonts w:cs="Times New Roman"/>
          <w:shd w:val="clear" w:color="auto" w:fill="FFFFFF"/>
        </w:rPr>
        <w:t xml:space="preserve"> публичный сервитут</w:t>
      </w:r>
      <w:r w:rsidR="00240103">
        <w:rPr>
          <w:rFonts w:cs="Times New Roman"/>
          <w:shd w:val="clear" w:color="auto" w:fill="FFFFFF"/>
        </w:rPr>
        <w:t xml:space="preserve"> в отношении частей земельных участков с кадастровыми номерами 50:46:0050101:7, адрес: Московская область, г. Электросталь,</w:t>
      </w:r>
      <w:r w:rsidR="00240103">
        <w:rPr>
          <w:rFonts w:cs="Times New Roman"/>
          <w:shd w:val="clear" w:color="auto" w:fill="FFFFFF"/>
        </w:rPr>
        <w:br/>
        <w:t>ул. Западная, с запада жилого дома № 18-а; 50:46:0050101:10, адрес: Московская область, г.Электросталь, ул. Западная, дом 2 (стр)</w:t>
      </w:r>
      <w:r w:rsidR="00240103" w:rsidRPr="00206FEB">
        <w:rPr>
          <w:rFonts w:cs="Times New Roman"/>
          <w:shd w:val="clear" w:color="auto" w:fill="FFFFFF"/>
        </w:rPr>
        <w:t xml:space="preserve"> </w:t>
      </w:r>
      <w:r w:rsidR="00240103">
        <w:rPr>
          <w:rFonts w:cs="Times New Roman"/>
          <w:shd w:val="clear" w:color="auto" w:fill="FFFFFF"/>
        </w:rPr>
        <w:t>и в отношении земель, расположенных в кадастровом квартале 50:46:0050101,</w:t>
      </w:r>
      <w:r w:rsidR="00240103" w:rsidRPr="00653725">
        <w:rPr>
          <w:rFonts w:cs="Times New Roman"/>
          <w:shd w:val="clear" w:color="auto" w:fill="FFFFFF"/>
        </w:rPr>
        <w:t xml:space="preserve"> </w:t>
      </w:r>
      <w:r w:rsidR="00240103">
        <w:rPr>
          <w:rFonts w:cs="Times New Roman"/>
          <w:shd w:val="clear" w:color="auto" w:fill="FFFFFF"/>
        </w:rPr>
        <w:t xml:space="preserve">сроком на 49 лет для размещения объекта электросетевого хозяйства </w:t>
      </w:r>
      <w:r w:rsidR="00240103" w:rsidRPr="00770521">
        <w:rPr>
          <w:rFonts w:cs="Times New Roman"/>
          <w:shd w:val="clear" w:color="auto" w:fill="FFFFFF"/>
        </w:rPr>
        <w:t>– здани</w:t>
      </w:r>
      <w:r w:rsidR="00240103">
        <w:rPr>
          <w:rFonts w:cs="Times New Roman"/>
          <w:shd w:val="clear" w:color="auto" w:fill="FFFFFF"/>
        </w:rPr>
        <w:t>я с</w:t>
      </w:r>
      <w:r w:rsidR="00240103" w:rsidRPr="00770521">
        <w:rPr>
          <w:rFonts w:cs="Times New Roman"/>
          <w:shd w:val="clear" w:color="auto" w:fill="FFFFFF"/>
        </w:rPr>
        <w:t xml:space="preserve"> кадастровы</w:t>
      </w:r>
      <w:r w:rsidR="00240103">
        <w:rPr>
          <w:rFonts w:cs="Times New Roman"/>
          <w:shd w:val="clear" w:color="auto" w:fill="FFFFFF"/>
        </w:rPr>
        <w:t>м</w:t>
      </w:r>
      <w:r w:rsidR="00240103" w:rsidRPr="00770521">
        <w:rPr>
          <w:rFonts w:cs="Times New Roman"/>
          <w:shd w:val="clear" w:color="auto" w:fill="FFFFFF"/>
        </w:rPr>
        <w:t xml:space="preserve"> номер</w:t>
      </w:r>
      <w:r w:rsidR="00240103">
        <w:rPr>
          <w:rFonts w:cs="Times New Roman"/>
          <w:shd w:val="clear" w:color="auto" w:fill="FFFFFF"/>
        </w:rPr>
        <w:t>ом</w:t>
      </w:r>
      <w:r w:rsidR="00240103" w:rsidRPr="00770521">
        <w:rPr>
          <w:rFonts w:cs="Times New Roman"/>
          <w:shd w:val="clear" w:color="auto" w:fill="FFFFFF"/>
        </w:rPr>
        <w:t xml:space="preserve"> 50:46:</w:t>
      </w:r>
      <w:r w:rsidR="00240103">
        <w:rPr>
          <w:rFonts w:cs="Times New Roman"/>
          <w:shd w:val="clear" w:color="auto" w:fill="FFFFFF"/>
        </w:rPr>
        <w:t>0050101:4647</w:t>
      </w:r>
      <w:r w:rsidR="00240103" w:rsidRPr="00770521">
        <w:rPr>
          <w:rFonts w:cs="Times New Roman"/>
          <w:shd w:val="clear" w:color="auto" w:fill="FFFFFF"/>
        </w:rPr>
        <w:t>.</w:t>
      </w:r>
    </w:p>
    <w:p w:rsidR="00A90387" w:rsidRDefault="00240103" w:rsidP="00240103">
      <w:pPr>
        <w:autoSpaceDE w:val="0"/>
        <w:autoSpaceDN w:val="0"/>
        <w:adjustRightInd w:val="0"/>
        <w:jc w:val="both"/>
      </w:pPr>
      <w:r>
        <w:tab/>
      </w:r>
      <w:r w:rsidR="00A90387" w:rsidRPr="00625656">
        <w:t>2. Утвердить границы публичного сервитута согласно приложению</w:t>
      </w:r>
      <w:r w:rsidR="00A90387">
        <w:t xml:space="preserve"> </w:t>
      </w:r>
      <w:r w:rsidR="00A90387" w:rsidRPr="00625656">
        <w:t>к настоящему постановлению.</w:t>
      </w:r>
    </w:p>
    <w:p w:rsidR="00A90387" w:rsidRPr="00973DFC" w:rsidRDefault="005F5F61" w:rsidP="00A90387">
      <w:pPr>
        <w:ind w:firstLine="709"/>
        <w:jc w:val="both"/>
      </w:pPr>
      <w:r>
        <w:t>3</w:t>
      </w:r>
      <w:r w:rsidR="00A90387" w:rsidRPr="00973DFC">
        <w:t xml:space="preserve">. График проведения работ при осуществлении эксплуатации </w:t>
      </w:r>
      <w:r w:rsidR="00973DFC">
        <w:t>объекта электросетевого хозяйства</w:t>
      </w:r>
      <w:r w:rsidR="00A90387" w:rsidRPr="00973DFC">
        <w:t xml:space="preserve"> установить согласно </w:t>
      </w:r>
      <w:r w:rsidR="00973DFC">
        <w:t>постановлени</w:t>
      </w:r>
      <w:r w:rsidR="009021BA">
        <w:t>ю</w:t>
      </w:r>
      <w:r w:rsidR="00973DFC"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A90387" w:rsidRPr="00973DFC">
        <w:t>.</w:t>
      </w:r>
    </w:p>
    <w:p w:rsidR="00F60D39" w:rsidRPr="00F60D39" w:rsidRDefault="005F5F61" w:rsidP="00F60D3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       </w:t>
      </w:r>
    </w:p>
    <w:p w:rsidR="00A90387" w:rsidRPr="00625656" w:rsidRDefault="005F5F61" w:rsidP="00A90387">
      <w:pPr>
        <w:ind w:firstLine="709"/>
        <w:jc w:val="both"/>
      </w:pPr>
      <w:r>
        <w:lastRenderedPageBreak/>
        <w:t>4</w:t>
      </w:r>
      <w:r w:rsidR="00A90387" w:rsidRPr="00625656">
        <w:t xml:space="preserve">. </w:t>
      </w:r>
      <w:r w:rsidR="001E7863">
        <w:t>Государственному унитарному предприятию Московской области «Электросеть</w:t>
      </w:r>
      <w:r w:rsidR="00A90387" w:rsidRPr="00625656">
        <w:t>» привести земельные участки, указанные</w:t>
      </w:r>
      <w:r w:rsidR="00A90387">
        <w:t xml:space="preserve"> </w:t>
      </w:r>
      <w:r w:rsidR="00A90387"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A90387" w:rsidRDefault="005F5F61" w:rsidP="00A90387">
      <w:pPr>
        <w:tabs>
          <w:tab w:val="left" w:pos="709"/>
        </w:tabs>
        <w:ind w:firstLine="709"/>
        <w:jc w:val="both"/>
        <w:rPr>
          <w:noProof/>
        </w:rPr>
      </w:pPr>
      <w:r>
        <w:t>5</w:t>
      </w:r>
      <w:r w:rsidR="00A90387" w:rsidRPr="00625656">
        <w:t>. </w:t>
      </w:r>
      <w:r w:rsidR="00A90387"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 w:rsidR="00A90387">
        <w:t xml:space="preserve"> в течение пяти рабочих дней со дня принятия копию настоящего постановления </w:t>
      </w:r>
      <w:r w:rsidR="00A90387">
        <w:rPr>
          <w:noProof/>
        </w:rPr>
        <w:t>направить:</w:t>
      </w:r>
    </w:p>
    <w:p w:rsidR="00A90387" w:rsidRPr="00625656" w:rsidRDefault="00A90387" w:rsidP="00A90387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A90387" w:rsidRPr="00625656" w:rsidRDefault="00A90387" w:rsidP="00A90387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A90387" w:rsidRPr="00625656" w:rsidRDefault="00A90387" w:rsidP="00A90387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90387" w:rsidRPr="00005F37" w:rsidRDefault="005F5F61" w:rsidP="00A90387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A90387" w:rsidRPr="00005F37">
        <w:rPr>
          <w:sz w:val="24"/>
          <w:szCs w:val="24"/>
        </w:rPr>
        <w:t xml:space="preserve">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="00A90387" w:rsidRPr="00005F37">
        <w:rPr>
          <w:sz w:val="24"/>
          <w:szCs w:val="24"/>
          <w:lang w:val="en-US"/>
        </w:rPr>
        <w:t>www</w:t>
      </w:r>
      <w:r w:rsidR="00A90387" w:rsidRPr="00005F37">
        <w:rPr>
          <w:sz w:val="24"/>
          <w:szCs w:val="24"/>
        </w:rPr>
        <w:t xml:space="preserve">. </w:t>
      </w:r>
      <w:r w:rsidR="00A90387" w:rsidRPr="00005F37">
        <w:rPr>
          <w:sz w:val="24"/>
          <w:szCs w:val="24"/>
          <w:lang w:val="en-US"/>
        </w:rPr>
        <w:t>electrostal</w:t>
      </w:r>
      <w:r w:rsidR="00A90387" w:rsidRPr="00005F37">
        <w:rPr>
          <w:sz w:val="24"/>
          <w:szCs w:val="24"/>
        </w:rPr>
        <w:t>.</w:t>
      </w:r>
      <w:r w:rsidR="00A90387" w:rsidRPr="00005F37">
        <w:rPr>
          <w:sz w:val="24"/>
          <w:szCs w:val="24"/>
          <w:lang w:val="en-US"/>
        </w:rPr>
        <w:t>ru</w:t>
      </w:r>
      <w:r w:rsidR="00A90387" w:rsidRPr="00005F37">
        <w:rPr>
          <w:sz w:val="24"/>
          <w:szCs w:val="24"/>
        </w:rPr>
        <w:t>.</w:t>
      </w:r>
    </w:p>
    <w:p w:rsidR="00A90387" w:rsidRPr="001C23C6" w:rsidRDefault="005F5F61" w:rsidP="00A90387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A90387"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90387" w:rsidRDefault="00F60D39" w:rsidP="00A90387">
      <w:pPr>
        <w:jc w:val="both"/>
      </w:pPr>
      <w:r>
        <w:tab/>
      </w:r>
      <w:r w:rsidR="005F5F61">
        <w:t>8</w:t>
      </w:r>
      <w:r w:rsidR="00A90387">
        <w:t xml:space="preserve">. Контроль за исполнением настоящего постановления </w:t>
      </w:r>
      <w:r w:rsidR="005F5F61">
        <w:t>оставляю за собой</w:t>
      </w:r>
    </w:p>
    <w:p w:rsidR="00A90387" w:rsidRDefault="00A90387" w:rsidP="00A90387">
      <w:pPr>
        <w:jc w:val="both"/>
      </w:pPr>
    </w:p>
    <w:p w:rsidR="00A90387" w:rsidRDefault="00A90387" w:rsidP="00A90387">
      <w:pPr>
        <w:jc w:val="both"/>
      </w:pPr>
    </w:p>
    <w:p w:rsidR="00A90387" w:rsidRDefault="00DE5FBE" w:rsidP="00A90387">
      <w:pPr>
        <w:jc w:val="both"/>
      </w:pPr>
      <w:r>
        <w:t xml:space="preserve">Глава городского округа                                                                                              </w:t>
      </w:r>
      <w:r w:rsidR="005F5F61">
        <w:t>И.Ю. Волкова</w:t>
      </w:r>
    </w:p>
    <w:p w:rsidR="00A90387" w:rsidRDefault="00A90387" w:rsidP="00A90387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p w:rsidR="00A90387" w:rsidRPr="00A90387" w:rsidRDefault="00A90387" w:rsidP="00A90387"/>
    <w:p w:rsidR="00640887" w:rsidRDefault="00640887" w:rsidP="00640887">
      <w:bookmarkStart w:id="0" w:name="_GoBack"/>
      <w:bookmarkEnd w:id="0"/>
    </w:p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5866A2" w:rsidRDefault="005866A2" w:rsidP="00640887"/>
    <w:p w:rsidR="005866A2" w:rsidRDefault="005866A2" w:rsidP="00640887"/>
    <w:p w:rsidR="005866A2" w:rsidRDefault="005866A2" w:rsidP="005866A2">
      <w:pPr>
        <w:ind w:left="4962"/>
      </w:pPr>
      <w:r>
        <w:lastRenderedPageBreak/>
        <w:t xml:space="preserve">Приложение к постановлению Администрации городского округа Электросталь Московской области </w:t>
      </w:r>
    </w:p>
    <w:p w:rsidR="005866A2" w:rsidRDefault="005866A2" w:rsidP="005866A2">
      <w:pPr>
        <w:ind w:left="4962"/>
      </w:pPr>
      <w:r>
        <w:t xml:space="preserve">от </w:t>
      </w:r>
      <w:r w:rsidRPr="005866A2">
        <w:rPr>
          <w:u w:val="single"/>
        </w:rPr>
        <w:t>15.01.2021</w:t>
      </w:r>
      <w:r>
        <w:t xml:space="preserve"> № </w:t>
      </w:r>
      <w:r w:rsidRPr="005866A2">
        <w:rPr>
          <w:u w:val="single"/>
        </w:rPr>
        <w:t>29/1</w:t>
      </w:r>
    </w:p>
    <w:p w:rsidR="00640887" w:rsidRDefault="00640887" w:rsidP="00640887"/>
    <w:tbl>
      <w:tblPr>
        <w:tblW w:w="9943" w:type="dxa"/>
        <w:tblInd w:w="-7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9"/>
        <w:gridCol w:w="1080"/>
        <w:gridCol w:w="213"/>
        <w:gridCol w:w="624"/>
        <w:gridCol w:w="1077"/>
        <w:gridCol w:w="2693"/>
        <w:gridCol w:w="1386"/>
        <w:gridCol w:w="1581"/>
      </w:tblGrid>
      <w:tr w:rsidR="00640887" w:rsidRPr="00640887" w:rsidTr="00640887">
        <w:trPr>
          <w:trHeight w:val="319"/>
        </w:trPr>
        <w:tc>
          <w:tcPr>
            <w:tcW w:w="8362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  <w:t>Графическое описание местоположения границ публичного сервитута</w:t>
            </w:r>
          </w:p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640887" w:rsidRPr="00640887" w:rsidTr="00640887">
        <w:trPr>
          <w:trHeight w:val="1001"/>
        </w:trPr>
        <w:tc>
          <w:tcPr>
            <w:tcW w:w="9943" w:type="dxa"/>
            <w:gridSpan w:val="8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  <w:t>трансформаторной подстанции, расположенной по адресу: Московская область, городской округ Электросталь, город Электросталь, улица Западная, в районе дома</w:t>
            </w:r>
          </w:p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  <w:t>№20 корпус 3</w:t>
            </w:r>
          </w:p>
        </w:tc>
      </w:tr>
      <w:tr w:rsidR="00640887" w:rsidRPr="00640887" w:rsidTr="00640887">
        <w:trPr>
          <w:trHeight w:val="305"/>
        </w:trPr>
        <w:tc>
          <w:tcPr>
            <w:tcW w:w="3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Местоположение объекта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6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Российская Федерация, Московская область</w:t>
            </w:r>
          </w:p>
        </w:tc>
      </w:tr>
      <w:tr w:rsidR="00640887" w:rsidRPr="00640887" w:rsidTr="00640887">
        <w:trPr>
          <w:trHeight w:val="290"/>
        </w:trPr>
        <w:tc>
          <w:tcPr>
            <w:tcW w:w="99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Система координат</w:t>
            </w:r>
          </w:p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МСК 50, зона 2</w:t>
            </w:r>
          </w:p>
        </w:tc>
      </w:tr>
      <w:tr w:rsidR="00640887" w:rsidRPr="00640887" w:rsidTr="00640887">
        <w:trPr>
          <w:trHeight w:val="290"/>
        </w:trPr>
        <w:tc>
          <w:tcPr>
            <w:tcW w:w="3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Площадь ограничения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799 кв.м.</w:t>
            </w:r>
          </w:p>
        </w:tc>
      </w:tr>
      <w:tr w:rsidR="00640887" w:rsidRPr="00640887" w:rsidTr="00640887">
        <w:trPr>
          <w:trHeight w:val="276"/>
        </w:trPr>
        <w:tc>
          <w:tcPr>
            <w:tcW w:w="4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Перечень характерных точек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</w:tr>
      <w:tr w:rsidR="00640887" w:rsidRPr="00640887" w:rsidTr="00640887">
        <w:trPr>
          <w:trHeight w:val="535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Обозначение характерных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Координат</w:t>
            </w: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ы, м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Метод определения координат характерной точки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Средняя квадратическая погрешность положения характерной точки (Mt),м</w:t>
            </w:r>
          </w:p>
        </w:tc>
      </w:tr>
      <w:tr w:rsidR="00640887" w:rsidRPr="00640887" w:rsidTr="00640887">
        <w:trPr>
          <w:trHeight w:val="1219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точек</w:t>
            </w:r>
          </w:p>
          <w:p w:rsidR="00640887" w:rsidRPr="00640887" w:rsidRDefault="00640887" w:rsidP="00640887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границы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</w:tr>
      <w:tr w:rsidR="00640887" w:rsidRPr="00640887" w:rsidTr="00640887">
        <w:trPr>
          <w:trHeight w:val="276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640887" w:rsidRPr="00640887" w:rsidTr="00640887">
        <w:trPr>
          <w:trHeight w:val="276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470291.04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2246180.05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Аналитический метод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Mt =0,10</w:t>
            </w:r>
          </w:p>
        </w:tc>
      </w:tr>
      <w:tr w:rsidR="00640887" w:rsidRPr="00640887" w:rsidTr="00640887">
        <w:trPr>
          <w:trHeight w:val="290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470298.57</w:t>
            </w:r>
          </w:p>
        </w:tc>
        <w:tc>
          <w:tcPr>
            <w:tcW w:w="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2246205.24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Аналитический метод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Mt =0,10</w:t>
            </w:r>
          </w:p>
        </w:tc>
      </w:tr>
      <w:tr w:rsidR="00640887" w:rsidRPr="00640887" w:rsidTr="00640887">
        <w:trPr>
          <w:trHeight w:val="276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470269.45</w:t>
            </w:r>
          </w:p>
        </w:tc>
        <w:tc>
          <w:tcPr>
            <w:tcW w:w="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2246955.79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Аналитический метод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Mt =0,10</w:t>
            </w:r>
          </w:p>
        </w:tc>
      </w:tr>
      <w:tr w:rsidR="00640887" w:rsidRPr="00640887" w:rsidTr="00640887">
        <w:trPr>
          <w:trHeight w:val="276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470261.92</w:t>
            </w:r>
          </w:p>
        </w:tc>
        <w:tc>
          <w:tcPr>
            <w:tcW w:w="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40887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2246188.76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Аналитический метод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887" w:rsidRPr="00640887" w:rsidRDefault="00640887" w:rsidP="0064088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40887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Mt =0,10</w:t>
            </w:r>
          </w:p>
        </w:tc>
      </w:tr>
    </w:tbl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Default="00640887" w:rsidP="00640887"/>
    <w:p w:rsidR="00640887" w:rsidRPr="00640887" w:rsidRDefault="00640887" w:rsidP="00640887">
      <w:r>
        <w:rPr>
          <w:noProof/>
        </w:rPr>
        <w:lastRenderedPageBreak/>
        <w:drawing>
          <wp:inline distT="0" distB="0" distL="0" distR="0">
            <wp:extent cx="6120130" cy="8662132"/>
            <wp:effectExtent l="19050" t="0" r="0" b="0"/>
            <wp:docPr id="2" name="Рисунок 1" descr="C:\Users\kameneva\Downloads\_7b185c5e-ef8a-418c-b23b-27ceafeee70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eneva\Downloads\_7b185c5e-ef8a-418c-b23b-27ceafeee707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887" w:rsidRPr="00640887" w:rsidSect="00807DC0">
      <w:headerReference w:type="default" r:id="rId8"/>
      <w:pgSz w:w="11906" w:h="16838"/>
      <w:pgMar w:top="993" w:right="56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C8" w:rsidRDefault="00250AC8" w:rsidP="001738E7">
      <w:r>
        <w:separator/>
      </w:r>
    </w:p>
  </w:endnote>
  <w:endnote w:type="continuationSeparator" w:id="0">
    <w:p w:rsidR="00250AC8" w:rsidRDefault="00250AC8" w:rsidP="0017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C8" w:rsidRDefault="00250AC8" w:rsidP="001738E7">
      <w:r>
        <w:separator/>
      </w:r>
    </w:p>
  </w:footnote>
  <w:footnote w:type="continuationSeparator" w:id="0">
    <w:p w:rsidR="00250AC8" w:rsidRDefault="00250AC8" w:rsidP="00173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59478B">
        <w:pPr>
          <w:pStyle w:val="a3"/>
          <w:jc w:val="center"/>
        </w:pPr>
        <w:r>
          <w:fldChar w:fldCharType="begin"/>
        </w:r>
        <w:r w:rsidR="00A90387">
          <w:instrText xml:space="preserve"> PAGE   \* MERGEFORMAT </w:instrText>
        </w:r>
        <w:r>
          <w:fldChar w:fldCharType="separate"/>
        </w:r>
        <w:r w:rsidR="002D6483">
          <w:rPr>
            <w:noProof/>
          </w:rPr>
          <w:t>2</w:t>
        </w:r>
        <w:r>
          <w:fldChar w:fldCharType="end"/>
        </w:r>
      </w:p>
    </w:sdtContent>
  </w:sdt>
  <w:p w:rsidR="00992114" w:rsidRDefault="00250A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387"/>
    <w:rsid w:val="00052593"/>
    <w:rsid w:val="0009267D"/>
    <w:rsid w:val="0011406D"/>
    <w:rsid w:val="00157DFD"/>
    <w:rsid w:val="001738E7"/>
    <w:rsid w:val="001B5CA5"/>
    <w:rsid w:val="001D0380"/>
    <w:rsid w:val="001E7863"/>
    <w:rsid w:val="00206FEB"/>
    <w:rsid w:val="002175AE"/>
    <w:rsid w:val="00221047"/>
    <w:rsid w:val="00240103"/>
    <w:rsid w:val="0024366B"/>
    <w:rsid w:val="00250AC8"/>
    <w:rsid w:val="00266603"/>
    <w:rsid w:val="00285794"/>
    <w:rsid w:val="002D6483"/>
    <w:rsid w:val="002F413A"/>
    <w:rsid w:val="00375AF4"/>
    <w:rsid w:val="003A2339"/>
    <w:rsid w:val="003B5325"/>
    <w:rsid w:val="0044293B"/>
    <w:rsid w:val="005164BC"/>
    <w:rsid w:val="00546F78"/>
    <w:rsid w:val="005866A2"/>
    <w:rsid w:val="0059478B"/>
    <w:rsid w:val="005A3C53"/>
    <w:rsid w:val="005F5F61"/>
    <w:rsid w:val="00640887"/>
    <w:rsid w:val="006502FC"/>
    <w:rsid w:val="00672AFE"/>
    <w:rsid w:val="00677D7D"/>
    <w:rsid w:val="006B4626"/>
    <w:rsid w:val="006E5095"/>
    <w:rsid w:val="006E64EB"/>
    <w:rsid w:val="006F39B2"/>
    <w:rsid w:val="00705031"/>
    <w:rsid w:val="00770521"/>
    <w:rsid w:val="007710BD"/>
    <w:rsid w:val="00807DC0"/>
    <w:rsid w:val="0085363F"/>
    <w:rsid w:val="008706C9"/>
    <w:rsid w:val="008F0E3D"/>
    <w:rsid w:val="008F6B47"/>
    <w:rsid w:val="009021BA"/>
    <w:rsid w:val="00973DFC"/>
    <w:rsid w:val="00A021CA"/>
    <w:rsid w:val="00A22AE3"/>
    <w:rsid w:val="00A33652"/>
    <w:rsid w:val="00A37018"/>
    <w:rsid w:val="00A55B19"/>
    <w:rsid w:val="00A6025A"/>
    <w:rsid w:val="00A90387"/>
    <w:rsid w:val="00A94ACB"/>
    <w:rsid w:val="00BA1320"/>
    <w:rsid w:val="00BA319D"/>
    <w:rsid w:val="00BE204A"/>
    <w:rsid w:val="00C84F99"/>
    <w:rsid w:val="00CB11C1"/>
    <w:rsid w:val="00CF28B1"/>
    <w:rsid w:val="00D40750"/>
    <w:rsid w:val="00D452D7"/>
    <w:rsid w:val="00D73A6D"/>
    <w:rsid w:val="00DB218B"/>
    <w:rsid w:val="00DC00AA"/>
    <w:rsid w:val="00DE5FBE"/>
    <w:rsid w:val="00E443CF"/>
    <w:rsid w:val="00F5526B"/>
    <w:rsid w:val="00F60D39"/>
    <w:rsid w:val="00F70C98"/>
    <w:rsid w:val="00F71D00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DDFBA-2515-4E11-9948-FD5ED402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8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9038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03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0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38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A90387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903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C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4</cp:revision>
  <cp:lastPrinted>2021-01-14T06:43:00Z</cp:lastPrinted>
  <dcterms:created xsi:type="dcterms:W3CDTF">2021-01-18T06:44:00Z</dcterms:created>
  <dcterms:modified xsi:type="dcterms:W3CDTF">2021-01-19T11:50:00Z</dcterms:modified>
</cp:coreProperties>
</file>