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F8" w:rsidRPr="006772D6" w:rsidRDefault="00FC77F8" w:rsidP="006772D6">
      <w:pPr>
        <w:ind w:right="-1"/>
        <w:jc w:val="center"/>
        <w:rPr>
          <w:sz w:val="28"/>
          <w:szCs w:val="28"/>
        </w:rPr>
      </w:pPr>
      <w:r w:rsidRPr="006772D6">
        <w:rPr>
          <w:noProof/>
          <w:sz w:val="28"/>
          <w:szCs w:val="28"/>
        </w:rPr>
        <w:drawing>
          <wp:inline distT="0" distB="0" distL="0" distR="0" wp14:anchorId="4E2A0312" wp14:editId="3CC4A5C7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F8" w:rsidRPr="006772D6" w:rsidRDefault="00FC77F8" w:rsidP="006772D6">
      <w:pPr>
        <w:ind w:right="-1"/>
        <w:jc w:val="center"/>
        <w:rPr>
          <w:sz w:val="28"/>
          <w:szCs w:val="28"/>
        </w:rPr>
      </w:pPr>
    </w:p>
    <w:p w:rsidR="00FC77F8" w:rsidRPr="006772D6" w:rsidRDefault="00FC77F8" w:rsidP="006772D6">
      <w:pPr>
        <w:ind w:right="-1"/>
        <w:contextualSpacing/>
        <w:jc w:val="center"/>
        <w:rPr>
          <w:sz w:val="28"/>
          <w:szCs w:val="28"/>
        </w:rPr>
      </w:pPr>
      <w:r w:rsidRPr="006772D6">
        <w:rPr>
          <w:sz w:val="28"/>
          <w:szCs w:val="28"/>
        </w:rPr>
        <w:t>АДМИНИСТРАЦИЯ ГОРОДСКОГО ОКРУГА ЭЛЕКТРОСТАЛЬ</w:t>
      </w:r>
    </w:p>
    <w:p w:rsidR="00FC77F8" w:rsidRPr="006772D6" w:rsidRDefault="00FC77F8" w:rsidP="006772D6">
      <w:pPr>
        <w:ind w:right="-1"/>
        <w:contextualSpacing/>
        <w:jc w:val="center"/>
        <w:rPr>
          <w:sz w:val="28"/>
          <w:szCs w:val="28"/>
        </w:rPr>
      </w:pPr>
    </w:p>
    <w:p w:rsidR="00FC77F8" w:rsidRPr="006772D6" w:rsidRDefault="00FC77F8" w:rsidP="006772D6">
      <w:pPr>
        <w:ind w:right="-1"/>
        <w:contextualSpacing/>
        <w:jc w:val="center"/>
        <w:rPr>
          <w:sz w:val="28"/>
          <w:szCs w:val="28"/>
        </w:rPr>
      </w:pPr>
      <w:r w:rsidRPr="006772D6">
        <w:rPr>
          <w:sz w:val="28"/>
          <w:szCs w:val="28"/>
        </w:rPr>
        <w:t>МОСКОВСКОЙ ОБЛАСТИ</w:t>
      </w:r>
    </w:p>
    <w:p w:rsidR="00FC77F8" w:rsidRPr="006772D6" w:rsidRDefault="00FC77F8" w:rsidP="006772D6">
      <w:pPr>
        <w:ind w:right="-1"/>
        <w:contextualSpacing/>
        <w:jc w:val="center"/>
        <w:rPr>
          <w:sz w:val="28"/>
          <w:szCs w:val="28"/>
        </w:rPr>
      </w:pPr>
    </w:p>
    <w:p w:rsidR="00FC77F8" w:rsidRPr="006772D6" w:rsidRDefault="00FC77F8" w:rsidP="006772D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772D6">
        <w:rPr>
          <w:sz w:val="44"/>
          <w:szCs w:val="44"/>
        </w:rPr>
        <w:t>ПОСТАНОВЛЕНИЕ</w:t>
      </w:r>
    </w:p>
    <w:p w:rsidR="00FC77F8" w:rsidRPr="006772D6" w:rsidRDefault="00FC77F8" w:rsidP="006772D6">
      <w:pPr>
        <w:ind w:right="-1"/>
        <w:jc w:val="center"/>
        <w:rPr>
          <w:sz w:val="44"/>
          <w:szCs w:val="44"/>
        </w:rPr>
      </w:pPr>
    </w:p>
    <w:p w:rsidR="00FC77F8" w:rsidRPr="00B038F4" w:rsidRDefault="00B33DE3" w:rsidP="006772D6">
      <w:pPr>
        <w:ind w:right="-1"/>
        <w:jc w:val="center"/>
        <w:outlineLvl w:val="0"/>
        <w:rPr>
          <w:u w:val="single"/>
        </w:rPr>
      </w:pPr>
      <w:r w:rsidRPr="006772D6">
        <w:t>16.12.2019</w:t>
      </w:r>
      <w:r w:rsidR="006772D6">
        <w:t xml:space="preserve"> № </w:t>
      </w:r>
      <w:r w:rsidRPr="006772D6">
        <w:t>955/12</w:t>
      </w:r>
    </w:p>
    <w:p w:rsidR="00FC77F8" w:rsidRDefault="00FC77F8" w:rsidP="00FC77F8">
      <w:pPr>
        <w:outlineLvl w:val="0"/>
      </w:pPr>
    </w:p>
    <w:p w:rsidR="006772D6" w:rsidRPr="00537687" w:rsidRDefault="006772D6" w:rsidP="00FC77F8">
      <w:pPr>
        <w:outlineLvl w:val="0"/>
      </w:pPr>
    </w:p>
    <w:p w:rsidR="00FC77F8" w:rsidRPr="006772D6" w:rsidRDefault="00FC77F8" w:rsidP="006772D6">
      <w:pPr>
        <w:spacing w:line="240" w:lineRule="exact"/>
        <w:jc w:val="center"/>
      </w:pPr>
      <w:r w:rsidRPr="00724C57">
        <w:t>О</w:t>
      </w:r>
      <w:r>
        <w:t>б утверждении</w:t>
      </w:r>
      <w:r w:rsidRPr="00724C57">
        <w:t xml:space="preserve"> муниципальн</w:t>
      </w:r>
      <w:r>
        <w:t>ой</w:t>
      </w:r>
      <w:r w:rsidRPr="00724C57">
        <w:t xml:space="preserve"> программ</w:t>
      </w:r>
      <w:r>
        <w:t>ы</w:t>
      </w:r>
      <w:r w:rsidRPr="00724C57"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  <w:bookmarkEnd w:id="0"/>
    </w:p>
    <w:p w:rsidR="00FC77F8" w:rsidRDefault="00FC77F8" w:rsidP="006772D6">
      <w:pPr>
        <w:spacing w:line="240" w:lineRule="exact"/>
      </w:pPr>
    </w:p>
    <w:p w:rsidR="006772D6" w:rsidRPr="00724C57" w:rsidRDefault="006772D6" w:rsidP="006772D6">
      <w:pPr>
        <w:spacing w:line="240" w:lineRule="exact"/>
      </w:pPr>
    </w:p>
    <w:p w:rsidR="00BC1D81" w:rsidRDefault="00FC77F8" w:rsidP="00BC1D81">
      <w:pPr>
        <w:ind w:firstLine="567"/>
        <w:jc w:val="both"/>
      </w:pPr>
      <w:r w:rsidRPr="00724C57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>
        <w:t xml:space="preserve"> </w:t>
      </w:r>
      <w:r w:rsidRPr="00724C57">
        <w:t xml:space="preserve">651/8, </w:t>
      </w:r>
      <w:r w:rsidR="00BC1D81" w:rsidRPr="00BC1D81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№661/9, в связи с переходом с 2020 года на типовой бюджет муниципального образования Московской области, Администрация городского округа Электросталь Московской области ПОСТАНОВЛЯЕТ:</w:t>
      </w:r>
    </w:p>
    <w:p w:rsidR="00FC77F8" w:rsidRDefault="00FC77F8" w:rsidP="00BC1D81">
      <w:pPr>
        <w:ind w:firstLine="567"/>
        <w:jc w:val="both"/>
        <w:rPr>
          <w:rFonts w:cs="Times New Roman"/>
        </w:rPr>
      </w:pPr>
      <w:r w:rsidRPr="00724C57">
        <w:t xml:space="preserve">1. </w:t>
      </w:r>
      <w:r>
        <w:t>Утвердить</w:t>
      </w:r>
      <w:r w:rsidRPr="00724C57">
        <w:t xml:space="preserve"> муниципальн</w:t>
      </w:r>
      <w:r>
        <w:t>ую</w:t>
      </w:r>
      <w:r w:rsidRPr="00724C57">
        <w:t xml:space="preserve"> программ</w:t>
      </w:r>
      <w:r>
        <w:t>у</w:t>
      </w:r>
      <w:r w:rsidRPr="00724C57">
        <w:t xml:space="preserve"> </w:t>
      </w:r>
      <w:r w:rsidRPr="00915F62">
        <w:rPr>
          <w:rFonts w:cs="Times New Roman"/>
        </w:rPr>
        <w:t>городского</w:t>
      </w:r>
      <w:r>
        <w:rPr>
          <w:rFonts w:cs="Times New Roman"/>
        </w:rPr>
        <w:t xml:space="preserve"> округа Электросталь Московской </w:t>
      </w:r>
      <w:r w:rsidRPr="00915F62">
        <w:rPr>
          <w:rFonts w:cs="Times New Roman"/>
        </w:rPr>
        <w:t>области</w:t>
      </w:r>
      <w:r>
        <w:rPr>
          <w:rFonts w:cs="Times New Roman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BC1D81" w:rsidRPr="00BC1D81">
        <w:rPr>
          <w:rFonts w:cs="Times New Roman"/>
        </w:rPr>
        <w:t xml:space="preserve"> (</w:t>
      </w:r>
      <w:r w:rsidR="00BC1D81">
        <w:rPr>
          <w:rFonts w:cs="Times New Roman"/>
        </w:rPr>
        <w:t>прилагается)</w:t>
      </w:r>
      <w:r>
        <w:rPr>
          <w:rFonts w:cs="Times New Roman"/>
        </w:rPr>
        <w:t>.</w:t>
      </w:r>
    </w:p>
    <w:p w:rsidR="00BC1D81" w:rsidRPr="00BC1D81" w:rsidRDefault="00BC1D81" w:rsidP="00BC1D81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C1D81">
        <w:rPr>
          <w:rFonts w:cs="Times New Roman"/>
        </w:rPr>
        <w:t>Досрочно прекратить реализацию муниципальн</w:t>
      </w:r>
      <w:r>
        <w:rPr>
          <w:rFonts w:cs="Times New Roman"/>
        </w:rPr>
        <w:t>ой программы</w:t>
      </w:r>
      <w:r w:rsidRPr="00BC1D81">
        <w:rPr>
          <w:rFonts w:cs="Times New Roman"/>
        </w:rPr>
        <w:t xml:space="preserve"> «Молодежь Электростали»</w:t>
      </w:r>
      <w:r>
        <w:rPr>
          <w:rFonts w:cs="Times New Roman"/>
        </w:rPr>
        <w:t xml:space="preserve"> </w:t>
      </w:r>
      <w:r w:rsidRPr="00BC1D81">
        <w:rPr>
          <w:rFonts w:cs="Times New Roman"/>
        </w:rPr>
        <w:t>на 2017-2021 годы, утвержденную постановлением Администрации городского округа Электросталь Московской области от 14.12.2016 № 897/16</w:t>
      </w:r>
      <w:r w:rsidR="00E362B9">
        <w:rPr>
          <w:rFonts w:cs="Times New Roman"/>
        </w:rPr>
        <w:t>.</w:t>
      </w:r>
    </w:p>
    <w:p w:rsidR="00BC1D81" w:rsidRPr="00BC1D81" w:rsidRDefault="00BC1D81" w:rsidP="00BC1D81">
      <w:pPr>
        <w:ind w:firstLine="567"/>
        <w:jc w:val="both"/>
        <w:rPr>
          <w:rFonts w:cs="Times New Roman"/>
        </w:rPr>
      </w:pPr>
      <w:r w:rsidRPr="00BC1D81">
        <w:rPr>
          <w:rFonts w:cs="Times New Roman"/>
        </w:rPr>
        <w:t>3. Признать утратившим силу постановление Администрации 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BC1D81">
        <w:rPr>
          <w:rFonts w:cs="Times New Roman"/>
        </w:rPr>
        <w:t>от 14.12.2016 № 897/16</w:t>
      </w:r>
      <w:r w:rsidR="00E362B9">
        <w:rPr>
          <w:rFonts w:cs="Times New Roman"/>
        </w:rPr>
        <w:t xml:space="preserve"> </w:t>
      </w:r>
      <w:r w:rsidR="00E362B9" w:rsidRPr="0042745C">
        <w:rPr>
          <w:rFonts w:cs="Times New Roman"/>
        </w:rPr>
        <w:t>«Об утверждении муниципальной программы «Молодежь Электростали» на 2017-2021 годы»</w:t>
      </w:r>
      <w:r w:rsidRPr="0042745C">
        <w:rPr>
          <w:rFonts w:cs="Times New Roman"/>
        </w:rPr>
        <w:t xml:space="preserve"> </w:t>
      </w:r>
      <w:r w:rsidRPr="00BC1D81">
        <w:rPr>
          <w:rFonts w:cs="Times New Roman"/>
        </w:rPr>
        <w:t>(в редакции постановлений Администрации городского округа Электросталь Московской области от 28.07.2017 №534/7, от 27.09.2017 №678/9, от 06.12.2017 № 881/12, 28.12.2017 № 987/12, от 27.04.2018 № 359/4, от 14.08.2018 № 745/8, от 29.03.2019 №200/3</w:t>
      </w:r>
      <w:r w:rsidR="00810CA0">
        <w:rPr>
          <w:rFonts w:cs="Times New Roman"/>
        </w:rPr>
        <w:t>, от 24.10.2019 №764/10</w:t>
      </w:r>
      <w:r w:rsidRPr="00BC1D81">
        <w:rPr>
          <w:rFonts w:cs="Times New Roman"/>
        </w:rPr>
        <w:t>)</w:t>
      </w:r>
      <w:r w:rsidR="00E362B9">
        <w:rPr>
          <w:rFonts w:cs="Times New Roman"/>
        </w:rPr>
        <w:t>.</w:t>
      </w:r>
    </w:p>
    <w:p w:rsidR="00FC77F8" w:rsidRDefault="00810CA0" w:rsidP="00FC77F8">
      <w:pPr>
        <w:ind w:firstLine="567"/>
        <w:jc w:val="both"/>
      </w:pPr>
      <w:r>
        <w:t>4</w:t>
      </w:r>
      <w:r w:rsidR="00FC77F8" w:rsidRPr="00724C5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FC77F8" w:rsidRPr="00E57E25">
        <w:t>www.electrostal.ru</w:t>
      </w:r>
      <w:r w:rsidR="00FC77F8">
        <w:t>.</w:t>
      </w:r>
    </w:p>
    <w:p w:rsidR="00810CA0" w:rsidRDefault="00810CA0" w:rsidP="00FC77F8">
      <w:pPr>
        <w:ind w:firstLine="567"/>
        <w:jc w:val="both"/>
      </w:pPr>
      <w:r w:rsidRPr="00810CA0">
        <w:t>5. 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 год и на плановый период 2021 и 2022 годов.</w:t>
      </w:r>
    </w:p>
    <w:p w:rsidR="00810CA0" w:rsidRPr="00810CA0" w:rsidRDefault="00810CA0" w:rsidP="00810CA0">
      <w:pPr>
        <w:ind w:firstLine="567"/>
        <w:jc w:val="both"/>
      </w:pPr>
      <w:r w:rsidRPr="00810CA0">
        <w:lastRenderedPageBreak/>
        <w:t>6.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10CA0" w:rsidRPr="00810CA0" w:rsidRDefault="00810CA0" w:rsidP="00810CA0">
      <w:pPr>
        <w:ind w:firstLine="567"/>
        <w:jc w:val="both"/>
      </w:pPr>
      <w:r w:rsidRPr="00810CA0">
        <w:t>7.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</w:t>
      </w:r>
      <w:r w:rsidR="00E362B9">
        <w:t> </w:t>
      </w:r>
      <w:proofErr w:type="spellStart"/>
      <w:r w:rsidRPr="00810CA0">
        <w:t>Кокунову</w:t>
      </w:r>
      <w:proofErr w:type="spellEnd"/>
      <w:r w:rsidRPr="00810CA0">
        <w:t>.</w:t>
      </w:r>
    </w:p>
    <w:p w:rsidR="00FC77F8" w:rsidRDefault="00FC77F8" w:rsidP="00FC77F8">
      <w:pPr>
        <w:jc w:val="both"/>
      </w:pPr>
    </w:p>
    <w:p w:rsidR="00FC77F8" w:rsidRDefault="00FC77F8" w:rsidP="00FC77F8">
      <w:pPr>
        <w:jc w:val="both"/>
      </w:pPr>
    </w:p>
    <w:p w:rsidR="006772D6" w:rsidRDefault="006772D6" w:rsidP="00FC77F8">
      <w:pPr>
        <w:jc w:val="both"/>
      </w:pPr>
    </w:p>
    <w:p w:rsidR="006772D6" w:rsidRDefault="006772D6" w:rsidP="00FC77F8">
      <w:pPr>
        <w:jc w:val="both"/>
      </w:pPr>
    </w:p>
    <w:p w:rsidR="006772D6" w:rsidRPr="00724C57" w:rsidRDefault="006772D6" w:rsidP="00FC77F8">
      <w:pPr>
        <w:jc w:val="both"/>
      </w:pPr>
    </w:p>
    <w:p w:rsidR="00FC77F8" w:rsidRDefault="00FC77F8" w:rsidP="00FC77F8">
      <w:pPr>
        <w:jc w:val="both"/>
      </w:pPr>
      <w:r w:rsidRPr="00724C57">
        <w:t xml:space="preserve">Глава городского округа                                                            </w:t>
      </w:r>
      <w:r>
        <w:t xml:space="preserve">                             </w:t>
      </w:r>
      <w:r w:rsidRPr="00724C57">
        <w:t xml:space="preserve">   В.Я. Пекарев</w:t>
      </w:r>
    </w:p>
    <w:p w:rsidR="00FC77F8" w:rsidRDefault="00FC77F8" w:rsidP="00FC77F8">
      <w:pPr>
        <w:jc w:val="both"/>
      </w:pPr>
    </w:p>
    <w:p w:rsidR="006772D6" w:rsidRDefault="006772D6" w:rsidP="00FC77F8">
      <w:pPr>
        <w:jc w:val="both"/>
        <w:sectPr w:rsidR="006772D6" w:rsidSect="006772D6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A0E7D" w:rsidRPr="00AA0E7D" w:rsidRDefault="00AA0E7D" w:rsidP="0076047E">
      <w:pPr>
        <w:spacing w:line="259" w:lineRule="auto"/>
        <w:ind w:firstLine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F1730A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6772D6" w:rsidP="00F1730A">
      <w:pPr>
        <w:ind w:left="5103"/>
        <w:outlineLvl w:val="0"/>
        <w:rPr>
          <w:rFonts w:cs="Times New Roman"/>
        </w:rPr>
      </w:pPr>
      <w:r w:rsidRPr="006772D6">
        <w:t>16.12.2019</w:t>
      </w:r>
      <w:r>
        <w:t xml:space="preserve"> № </w:t>
      </w:r>
      <w:r w:rsidRPr="006772D6">
        <w:t>955/12</w:t>
      </w:r>
    </w:p>
    <w:p w:rsidR="00AA0E7D" w:rsidRDefault="00AA0E7D" w:rsidP="00F1730A">
      <w:pPr>
        <w:ind w:left="5103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9F239E" w:rsidRPr="00915F62" w:rsidRDefault="009F239E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484ABF" w:rsidRDefault="00484ABF" w:rsidP="005231A2">
      <w:pPr>
        <w:jc w:val="center"/>
        <w:outlineLvl w:val="0"/>
        <w:rPr>
          <w:rFonts w:cs="Times New Roman"/>
        </w:rPr>
      </w:pPr>
    </w:p>
    <w:p w:rsidR="00920E42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0D1BB5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0D1BB5">
        <w:trPr>
          <w:trHeight w:val="242"/>
        </w:trPr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rFonts w:cs="Times New Roman"/>
                <w:color w:val="000000"/>
              </w:rPr>
            </w:pPr>
            <w:r w:rsidRPr="00E362B9">
              <w:rPr>
                <w:color w:val="000000"/>
              </w:rPr>
              <w:t>336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679,2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940,3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058,6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010,1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510,1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160,1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  <w:lang w:val="en-US"/>
              </w:rPr>
              <w:t>54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  <w:lang w:val="en-US"/>
              </w:rPr>
              <w:t>479</w:t>
            </w:r>
            <w:r>
              <w:rPr>
                <w:color w:val="000000"/>
              </w:rPr>
              <w:t>,0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606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045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764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391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158,2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546,3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103,6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774,1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042,1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lastRenderedPageBreak/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</w:t>
      </w:r>
      <w:r w:rsidR="00E362B9" w:rsidRPr="00EE4CB8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lastRenderedPageBreak/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D066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«Молодежь Подмосковья» (приложение №2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P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D0663" w:rsidRP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D3064E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по составлению </w:t>
      </w:r>
      <w:r w:rsidR="00E468CC" w:rsidRPr="00E468CC">
        <w:rPr>
          <w:rFonts w:ascii="Times New Roman" w:hAnsi="Times New Roman" w:cs="Times New Roman"/>
          <w:sz w:val="24"/>
          <w:szCs w:val="24"/>
        </w:rPr>
        <w:lastRenderedPageBreak/>
        <w:t>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6772D6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520DCB" w:rsidRPr="00761BD2" w:rsidTr="00761BD2">
        <w:tc>
          <w:tcPr>
            <w:tcW w:w="569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61BD2" w:rsidTr="00761BD2">
        <w:tc>
          <w:tcPr>
            <w:tcW w:w="569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761BD2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Информирование населения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101,54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101,66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101,78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101,90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102,02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9B69A5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Доля молодежи, </w:t>
            </w:r>
            <w:r w:rsidRPr="00761BD2">
              <w:rPr>
                <w:rFonts w:cs="Times New Roman"/>
                <w:sz w:val="16"/>
                <w:szCs w:val="16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16"/>
                <w:szCs w:val="16"/>
              </w:rPr>
              <w:t xml:space="preserve"> </w:t>
            </w:r>
            <w:r w:rsidRPr="00761BD2">
              <w:rPr>
                <w:rFonts w:cs="Times New Roman"/>
                <w:sz w:val="16"/>
                <w:szCs w:val="16"/>
              </w:rPr>
              <w:t>в Московской области</w:t>
            </w: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322B19" w:rsidRPr="00761BD2" w:rsidTr="00761BD2">
        <w:tc>
          <w:tcPr>
            <w:tcW w:w="5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761BD2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761BD2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4B05" w:rsidRPr="00761BD2" w:rsidTr="00761BD2">
        <w:tc>
          <w:tcPr>
            <w:tcW w:w="569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62B9" w:rsidRPr="00761BD2" w:rsidTr="00761BD2">
        <w:tc>
          <w:tcPr>
            <w:tcW w:w="569" w:type="dxa"/>
          </w:tcPr>
          <w:p w:rsidR="00E362B9" w:rsidRPr="00761BD2" w:rsidRDefault="00E362B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:rsidR="00E362B9" w:rsidRPr="00761BD2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761BD2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520DCB" w:rsidRPr="00761BD2" w:rsidTr="000D1BB5">
        <w:trPr>
          <w:trHeight w:val="759"/>
        </w:trPr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761BD2" w:rsidTr="000D1BB5">
        <w:tc>
          <w:tcPr>
            <w:tcW w:w="693" w:type="dxa"/>
          </w:tcPr>
          <w:p w:rsidR="009D3356" w:rsidRPr="00761BD2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показатель информированности населения в СМИ</w:t>
            </w:r>
          </w:p>
          <w:p w:rsidR="00A55F79" w:rsidRPr="00761BD2" w:rsidRDefault="00761BD2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подпрограммы в отчетный период;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подпрограммы базового периода.</w:t>
            </w:r>
          </w:p>
          <w:p w:rsidR="00A55F79" w:rsidRPr="00761BD2" w:rsidRDefault="006772D6" w:rsidP="00A55F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61BD2">
              <w:rPr>
                <w:rFonts w:ascii="Times New Roman" w:hAnsi="Times New Roman" w:cs="Times New Roman"/>
                <w:szCs w:val="22"/>
              </w:rPr>
              <w:t>V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(</w:t>
            </w:r>
            <w:proofErr w:type="gram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…) </w:t>
            </w:r>
            <w:r w:rsidRPr="00761BD2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A55F79" w:rsidRPr="00761BD2" w:rsidRDefault="006772D6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A55F79" w:rsidRPr="00761BD2" w:rsidRDefault="006772D6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A55F79" w:rsidRPr="00761BD2" w:rsidRDefault="006772D6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телевидения;</w:t>
            </w:r>
          </w:p>
          <w:p w:rsidR="00A55F79" w:rsidRPr="00761BD2" w:rsidRDefault="006772D6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A55F79" w:rsidRPr="00761BD2" w:rsidRDefault="006772D6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A55F79" w:rsidRPr="00761BD2" w:rsidRDefault="006772D6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k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коэффициент значимости:</w:t>
            </w:r>
          </w:p>
          <w:p w:rsidR="00A55F79" w:rsidRPr="00761BD2" w:rsidRDefault="00A55F79" w:rsidP="00A55F7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Коэффициент значимости печатных СМИ – 0,4</w:t>
            </w:r>
          </w:p>
          <w:p w:rsidR="00A55F79" w:rsidRPr="00761BD2" w:rsidRDefault="00A55F79" w:rsidP="00A55F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(</w:t>
            </w:r>
            <w:r w:rsidRPr="00761BD2">
              <w:rPr>
                <w:rFonts w:cs="Times New Roman"/>
                <w:color w:val="000000"/>
                <w:sz w:val="22"/>
                <w:szCs w:val="22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761BD2">
              <w:rPr>
                <w:rFonts w:cs="Times New Roman"/>
                <w:sz w:val="22"/>
                <w:szCs w:val="22"/>
              </w:rPr>
              <w:t>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радио – 0,1;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Коэффициенты значимости телевидение: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кабельное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и кабельное вещание – 0,1;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спутниковое вещание / цифровое – 0,4.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3" w:firstLine="0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сетевые СМИ – 0,1.</w:t>
            </w:r>
          </w:p>
          <w:p w:rsidR="00A55F79" w:rsidRPr="00761BD2" w:rsidRDefault="00A55F79" w:rsidP="00A55F7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ind w:left="33" w:firstLine="284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При отсутствии подтверждающих документов применяется коэффициент 0,05.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10" w:history="1">
              <w:r w:rsidRPr="00761BD2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http://www.moscow_reg.izbirkom.ru/chislennost-izbirateley</w:t>
              </w:r>
            </w:hyperlink>
            <w:r w:rsidRPr="00761BD2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rPr>
          <w:trHeight w:val="41"/>
        </w:trPr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761BD2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761BD2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761BD2" w:rsidRDefault="006772D6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6772D6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число просмотров всех публикаций, размещенных на официальных страницах и аккаунтах муниципального образования и главы муниципального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образования в не менее чем 8 социальных сетях за отчетный период;</w:t>
            </w:r>
          </w:p>
          <w:p w:rsidR="00A55F79" w:rsidRPr="00761BD2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761BD2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761BD2" w:rsidRDefault="006772D6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761BD2" w:rsidRDefault="006772D6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761BD2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>&lt; 1</w:t>
            </w:r>
            <w:proofErr w:type="gramEnd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, то </w:t>
            </w:r>
            <w:r w:rsidRPr="00761BD2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761BD2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761BD2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761BD2">
              <w:rPr>
                <w:szCs w:val="22"/>
              </w:rPr>
              <w:t xml:space="preserve">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761BD2" w:rsidRDefault="006772D6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6772D6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761BD2" w:rsidRDefault="006772D6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количество выявленных в социальных сетях негативных сообщений с помощью информационной системы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761BD2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761BD2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где: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761BD2">
              <w:rPr>
                <w:rFonts w:ascii="Times New Roman" w:hAnsi="Times New Roman"/>
              </w:rPr>
              <w:t>Зрк</w:t>
            </w:r>
            <w:proofErr w:type="spellEnd"/>
            <w:r w:rsidRPr="00761BD2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З</w:t>
            </w:r>
            <w:r w:rsidRPr="00761BD2">
              <w:rPr>
                <w:rFonts w:ascii="Times New Roman" w:hAnsi="Times New Roman"/>
                <w:sz w:val="16"/>
                <w:szCs w:val="16"/>
              </w:rPr>
              <w:t>1</w:t>
            </w:r>
            <w:r w:rsidRPr="00761BD2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61BD2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761BD2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761BD2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761BD2">
              <w:rPr>
                <w:rFonts w:ascii="Times New Roman" w:hAnsi="Times New Roman" w:cs="Times New Roman"/>
                <w:szCs w:val="22"/>
              </w:rPr>
              <w:t>З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рассматривается дело о несостоятельности (банкротстве);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761BD2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761BD2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6772D6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6772D6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761BD2" w:rsidRDefault="006772D6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761BD2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22"/>
                <w:szCs w:val="22"/>
              </w:rPr>
              <w:t xml:space="preserve"> </w:t>
            </w:r>
            <w:r w:rsidRPr="00761BD2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6772D6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6772D6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761BD2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761BD2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761BD2" w:rsidRDefault="006772D6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lastRenderedPageBreak/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761BD2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761BD2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61BD2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E86B18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625" w:type="dxa"/>
            <w:gridSpan w:val="4"/>
          </w:tcPr>
          <w:p w:rsidR="00E86B18" w:rsidRPr="00761BD2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761BD2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F163D0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3.1.</w:t>
            </w:r>
          </w:p>
        </w:tc>
        <w:tc>
          <w:tcPr>
            <w:tcW w:w="4122" w:type="dxa"/>
          </w:tcPr>
          <w:p w:rsidR="00E86B18" w:rsidRPr="00761BD2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761BD2" w:rsidRDefault="00C61449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Е</w:t>
            </w:r>
            <w:r w:rsidR="009D3436" w:rsidRPr="00761BD2">
              <w:rPr>
                <w:rFonts w:cs="Times New Roman"/>
                <w:sz w:val="22"/>
              </w:rPr>
              <w:t xml:space="preserve"> = </w:t>
            </w:r>
            <w:r w:rsidRPr="00761BD2">
              <w:rPr>
                <w:rFonts w:cs="Times New Roman"/>
                <w:sz w:val="22"/>
              </w:rPr>
              <w:t>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761BD2">
              <w:rPr>
                <w:rFonts w:cs="Times New Roman"/>
                <w:sz w:val="22"/>
              </w:rPr>
              <w:t xml:space="preserve"> 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</w:rPr>
              <w:t>DZ</w:t>
            </w:r>
            <w:r w:rsidR="009D3436" w:rsidRPr="00761BD2">
              <w:rPr>
                <w:rFonts w:cs="Times New Roman"/>
                <w:sz w:val="22"/>
              </w:rPr>
              <w:t>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761BD2">
              <w:rPr>
                <w:rFonts w:cs="Times New Roman"/>
                <w:sz w:val="22"/>
              </w:rPr>
              <w:t xml:space="preserve">, где: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lang w:val="en-US"/>
              </w:rPr>
              <w:t>E</w:t>
            </w:r>
            <w:r w:rsidRPr="00761BD2">
              <w:rPr>
                <w:rFonts w:cs="Times New Roman"/>
                <w:sz w:val="22"/>
              </w:rPr>
              <w:t xml:space="preserve"> - </w:t>
            </w:r>
            <w:proofErr w:type="gramStart"/>
            <w:r w:rsidRPr="00761BD2">
              <w:rPr>
                <w:rFonts w:cs="Times New Roman"/>
                <w:sz w:val="22"/>
              </w:rPr>
              <w:t>суммарное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 xml:space="preserve"> 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-Е</w:t>
            </w:r>
            <w:r w:rsidRPr="00761BD2">
              <w:rPr>
                <w:rFonts w:cs="Times New Roman"/>
                <w:sz w:val="16"/>
                <w:szCs w:val="16"/>
              </w:rPr>
              <w:t>DZ</w:t>
            </w:r>
            <w:r w:rsidRPr="00761BD2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76047E">
          <w:pgSz w:w="16838" w:h="11906" w:orient="landscape"/>
          <w:pgMar w:top="1701" w:right="1134" w:bottom="1276" w:left="1560" w:header="709" w:footer="709" w:gutter="0"/>
          <w:pgNumType w:start="8"/>
          <w:cols w:space="708"/>
          <w:titlePg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61BD2" w:rsidRDefault="00E27A7D" w:rsidP="00761B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Default="00761BD2" w:rsidP="00761BD2">
      <w:pPr>
        <w:ind w:firstLine="708"/>
        <w:jc w:val="both"/>
        <w:rPr>
          <w:rFonts w:cs="Times New Roman"/>
        </w:rPr>
      </w:pPr>
    </w:p>
    <w:p w:rsidR="00E27A7D" w:rsidRDefault="00E27A7D" w:rsidP="00761BD2">
      <w:pPr>
        <w:jc w:val="both"/>
        <w:rPr>
          <w:rFonts w:cs="Times New Roman"/>
        </w:rPr>
        <w:sectPr w:rsidR="00E27A7D" w:rsidSect="007604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2A1C15" w:rsidRPr="00E86B18" w:rsidTr="00A7258F">
        <w:tc>
          <w:tcPr>
            <w:tcW w:w="2344" w:type="dxa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E86B18" w:rsidTr="00A7258F">
        <w:tc>
          <w:tcPr>
            <w:tcW w:w="2344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</w:t>
            </w: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</w:t>
            </w:r>
            <w:proofErr w:type="spellStart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812F09" w:rsidRPr="00E86B18" w:rsidRDefault="003C54A2" w:rsidP="00812F09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4. </w:t>
      </w:r>
      <w:proofErr w:type="spellStart"/>
      <w:r w:rsidRPr="00015B9B">
        <w:rPr>
          <w:rFonts w:cs="Times New Roman"/>
        </w:rPr>
        <w:t>Электростальская</w:t>
      </w:r>
      <w:proofErr w:type="spellEnd"/>
      <w:r w:rsidRPr="00015B9B">
        <w:rPr>
          <w:rFonts w:cs="Times New Roman"/>
        </w:rPr>
        <w:t xml:space="preserve">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015B9B">
        <w:rPr>
          <w:rFonts w:cs="Times New Roman"/>
        </w:rPr>
        <w:t>медиасреды</w:t>
      </w:r>
      <w:proofErr w:type="spellEnd"/>
      <w:r w:rsidRPr="00015B9B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8. Организация мониторинга СМИ, </w:t>
      </w:r>
      <w:proofErr w:type="spellStart"/>
      <w:r w:rsidRPr="00015B9B">
        <w:rPr>
          <w:rFonts w:cs="Times New Roman"/>
        </w:rPr>
        <w:t>блогосферы</w:t>
      </w:r>
      <w:proofErr w:type="spellEnd"/>
      <w:r w:rsidRPr="00015B9B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Default="00E86B1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lastRenderedPageBreak/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196"/>
        <w:gridCol w:w="972"/>
        <w:gridCol w:w="1000"/>
        <w:gridCol w:w="979"/>
        <w:gridCol w:w="891"/>
        <w:gridCol w:w="891"/>
        <w:gridCol w:w="891"/>
        <w:gridCol w:w="891"/>
        <w:gridCol w:w="1120"/>
        <w:gridCol w:w="1720"/>
      </w:tblGrid>
      <w:tr w:rsidR="000C38BF" w:rsidRPr="0039067A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39067A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39067A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39067A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Всего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Ответственный</w:t>
            </w:r>
            <w:r w:rsidRPr="0039067A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39067A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39067A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 xml:space="preserve">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0C38BF" w:rsidRPr="0039067A" w:rsidTr="000D1BB5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1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86B18" w:rsidRPr="0039067A" w:rsidRDefault="00E86B18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E6FBB" w:rsidP="004E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31550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00B59" w:rsidRPr="000D1BB5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0B59" w:rsidRPr="0039067A" w:rsidRDefault="00E86B18" w:rsidP="00E00B59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00B59" w:rsidRPr="0039067A" w:rsidRDefault="00E00B59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39067A" w:rsidRDefault="00E00B59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E6FBB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="00E00B59"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</w:t>
            </w:r>
            <w:r w:rsidR="00E00B59" w:rsidRPr="0039067A">
              <w:rPr>
                <w:sz w:val="20"/>
                <w:szCs w:val="20"/>
              </w:rPr>
              <w:t>550</w:t>
            </w:r>
          </w:p>
        </w:tc>
        <w:tc>
          <w:tcPr>
            <w:tcW w:w="11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5551" w:rsidRPr="000D1BB5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39067A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7291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42750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7650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E5551" w:rsidRPr="000D1BB5" w:rsidTr="000D1BB5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7241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42500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7600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0D1BB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BB5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0C38BF" w:rsidRPr="000D1BB5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</w:t>
            </w:r>
            <w:r w:rsidR="003C54A2" w:rsidRPr="003906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20" w:type="dxa"/>
            <w:shd w:val="clear" w:color="auto" w:fill="auto"/>
            <w:hideMark/>
          </w:tcPr>
          <w:p w:rsidR="000C38BF" w:rsidRPr="000D1BB5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0D1BB5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в печатных изданиях официальной информации о проведении торгов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(аукционов) в сфере земельно-имущественных</w:t>
            </w:r>
            <w:r w:rsidRPr="000D1BB5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9E5551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3C54A2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3.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</w:t>
            </w:r>
            <w:r w:rsidRPr="0039067A">
              <w:rPr>
                <w:sz w:val="20"/>
                <w:szCs w:val="20"/>
              </w:rPr>
              <w:t>459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2C44D8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</w:t>
            </w:r>
            <w:r w:rsidR="00E86B18" w:rsidRPr="0039067A">
              <w:rPr>
                <w:rFonts w:cs="Times New Roman"/>
                <w:sz w:val="20"/>
                <w:szCs w:val="20"/>
              </w:rPr>
              <w:lastRenderedPageBreak/>
              <w:t xml:space="preserve">распространяемых в сети Интернет (сетевых изданиях). Создание и ведение информационных ресурсов и баз данных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3400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0D1BB5">
              <w:rPr>
                <w:rFonts w:cs="Times New Roman"/>
                <w:sz w:val="20"/>
                <w:szCs w:val="20"/>
              </w:rPr>
              <w:br/>
              <w:t xml:space="preserve">Создание и ведение информационных ресурсов и баз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5.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2800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>
              <w:rPr>
                <w:rFonts w:cs="Times New Roman"/>
                <w:sz w:val="18"/>
                <w:szCs w:val="18"/>
              </w:rPr>
              <w:t>0</w:t>
            </w:r>
            <w:r w:rsidRPr="000D1BB5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6.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Осуществление взаимодействия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Муниципальные бюджетные учрежден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ия и 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lastRenderedPageBreak/>
              <w:t xml:space="preserve">Обеспечение областными и муниципальными печатными изданиями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учреждения и предприятия городского округа Электросталь Московской области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 xml:space="preserve"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</w:t>
            </w:r>
            <w:proofErr w:type="spellStart"/>
            <w:r w:rsidRPr="0039067A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39067A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39067A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3943FD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Pr="00326255">
              <w:rPr>
                <w:rFonts w:cs="Times New Roman"/>
                <w:sz w:val="20"/>
                <w:szCs w:val="20"/>
              </w:rPr>
              <w:t>Московской области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43FD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39067A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39067A" w:rsidRPr="000D1BB5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0D1BB5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Электросталь</w:t>
            </w:r>
            <w:r w:rsidRPr="000D1BB5">
              <w:rPr>
                <w:rFonts w:cs="Times New Roman"/>
                <w:sz w:val="20"/>
                <w:szCs w:val="20"/>
              </w:rPr>
              <w:br/>
              <w:t xml:space="preserve">Московской области (12 </w:t>
            </w:r>
            <w:r w:rsidR="003943FD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0D1BB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78" w:type="dxa"/>
            <w:shd w:val="clear" w:color="auto" w:fill="auto"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39067A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39067A">
              <w:rPr>
                <w:rFonts w:cs="Times New Roman"/>
                <w:sz w:val="20"/>
                <w:szCs w:val="20"/>
              </w:rPr>
              <w:t xml:space="preserve">, проведение медиа-исследований аудитории СМИ на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A37728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1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1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согласованной Правительством </w:t>
            </w:r>
            <w:r w:rsidR="002C44D8" w:rsidRPr="0039067A">
              <w:rPr>
                <w:rFonts w:cs="Times New Roman"/>
                <w:sz w:val="20"/>
                <w:szCs w:val="20"/>
              </w:rPr>
              <w:lastRenderedPageBreak/>
              <w:t>Московской области 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2650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0D1BB5">
              <w:rPr>
                <w:rFonts w:cs="Times New Roman"/>
                <w:sz w:val="20"/>
                <w:szCs w:val="20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Проведение мероприятий, к которым обеспечено праздничное/ тематическое оформление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3854,40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9500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»,</w:t>
            </w:r>
            <w:r w:rsidRPr="000D1BB5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2C44D8" w:rsidRPr="0039067A" w:rsidRDefault="002C44D8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6B3EE5" w:rsidRPr="00326255">
              <w:rPr>
                <w:rFonts w:cs="Times New Roman"/>
                <w:sz w:val="20"/>
                <w:szCs w:val="20"/>
              </w:rPr>
              <w:t>2</w:t>
            </w:r>
            <w:r w:rsidRPr="00326255">
              <w:rPr>
                <w:rFonts w:cs="Times New Roman"/>
                <w:sz w:val="20"/>
                <w:szCs w:val="20"/>
              </w:rPr>
              <w:t>.1.</w:t>
            </w:r>
            <w:r w:rsidRPr="0039067A">
              <w:rPr>
                <w:rFonts w:cs="Times New Roman"/>
                <w:sz w:val="20"/>
                <w:szCs w:val="20"/>
              </w:rPr>
              <w:t xml:space="preserve"> Установка и размещение элементов праздничного и тематического оформления на территории </w:t>
            </w:r>
            <w:r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544,4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1120" w:type="dxa"/>
            <w:shd w:val="clear" w:color="000000" w:fill="FFFFFF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2C44D8" w:rsidRPr="0039067A" w:rsidRDefault="002C44D8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6B3EE5" w:rsidRPr="00326255">
              <w:rPr>
                <w:rFonts w:cs="Times New Roman"/>
                <w:sz w:val="20"/>
                <w:szCs w:val="20"/>
              </w:rPr>
              <w:t>2</w:t>
            </w:r>
            <w:r w:rsidRPr="00326255">
              <w:rPr>
                <w:rFonts w:cs="Times New Roman"/>
                <w:sz w:val="20"/>
                <w:szCs w:val="20"/>
              </w:rPr>
              <w:t>.2.</w:t>
            </w:r>
            <w:r w:rsidRPr="0039067A">
              <w:rPr>
                <w:rFonts w:cs="Times New Roman"/>
                <w:sz w:val="20"/>
                <w:szCs w:val="20"/>
              </w:rPr>
              <w:t xml:space="preserve">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000000" w:fill="FFFFFF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1120" w:type="dxa"/>
            <w:shd w:val="clear" w:color="000000" w:fill="FFFFFF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="002C44D8" w:rsidRPr="00326255">
              <w:rPr>
                <w:rFonts w:cs="Times New Roman"/>
                <w:sz w:val="20"/>
                <w:szCs w:val="20"/>
              </w:rPr>
              <w:t>Информирование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1029,5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2C44D8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44D8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2C44D8" w:rsidRPr="00761BD2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61BD2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2C44D8" w:rsidRPr="00761BD2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</w:r>
            <w:r w:rsidRPr="00761BD2">
              <w:rPr>
                <w:rFonts w:cs="Times New Roman"/>
                <w:bCs/>
                <w:sz w:val="20"/>
                <w:szCs w:val="20"/>
              </w:rPr>
              <w:lastRenderedPageBreak/>
              <w:t xml:space="preserve">городского округа Электросталь  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lastRenderedPageBreak/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1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6B3EE5" w:rsidRDefault="006B3E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992"/>
      </w:tblGrid>
      <w:tr w:rsidR="000C38BF" w:rsidRPr="00025001" w:rsidTr="00761BD2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761BD2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761BD2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76047E">
          <w:pgSz w:w="16838" w:h="11906" w:orient="landscape"/>
          <w:pgMar w:top="1702" w:right="820" w:bottom="1134" w:left="1560" w:header="709" w:footer="709" w:gutter="0"/>
          <w:pgNumType w:start="17"/>
          <w:cols w:space="708"/>
          <w:docGrid w:linePitch="360"/>
        </w:sectPr>
      </w:pPr>
    </w:p>
    <w:p w:rsidR="001153B7" w:rsidRPr="000C38B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lastRenderedPageBreak/>
        <w:t>Характеристика проблем, решаемых посредством мероприятий подпрограммы</w:t>
      </w:r>
      <w:r w:rsidR="0039067A" w:rsidRPr="0039067A">
        <w:rPr>
          <w:rFonts w:cs="Times New Roman"/>
        </w:rPr>
        <w:t xml:space="preserve"> </w:t>
      </w:r>
      <w:r w:rsidR="0039067A">
        <w:rPr>
          <w:rFonts w:cs="Times New Roman"/>
          <w:lang w:val="en-US"/>
        </w:rPr>
        <w:t>IV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1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2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3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4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5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E71477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124"/>
        <w:gridCol w:w="861"/>
        <w:gridCol w:w="992"/>
        <w:gridCol w:w="850"/>
        <w:gridCol w:w="964"/>
        <w:gridCol w:w="991"/>
        <w:gridCol w:w="990"/>
        <w:gridCol w:w="1308"/>
        <w:gridCol w:w="1383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5A3F" w:rsidRPr="00761BD2" w:rsidTr="00470442">
        <w:trPr>
          <w:trHeight w:val="2510"/>
        </w:trPr>
        <w:tc>
          <w:tcPr>
            <w:tcW w:w="56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761BD2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761BD2">
              <w:rPr>
                <w:rFonts w:cs="Times New Roman"/>
                <w:sz w:val="16"/>
                <w:szCs w:val="16"/>
              </w:rPr>
              <w:t xml:space="preserve">. </w:t>
            </w:r>
            <w:r w:rsidRPr="00761BD2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761BD2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565A3F" w:rsidRPr="00761BD2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148622,8</w:t>
            </w:r>
          </w:p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31804</w:t>
            </w:r>
            <w:r w:rsidR="0024491C" w:rsidRPr="00761BD2">
              <w:rPr>
                <w:rFonts w:cs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383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761BD2" w:rsidTr="00470442">
        <w:trPr>
          <w:trHeight w:val="1114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326255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326255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761BD2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 w:val="restart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71477" w:rsidRPr="00761BD2" w:rsidTr="00470442">
        <w:trPr>
          <w:trHeight w:val="1387"/>
        </w:trPr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/>
            <w:vAlign w:val="center"/>
          </w:tcPr>
          <w:p w:rsidR="00E71477" w:rsidRPr="00761BD2" w:rsidRDefault="00E71477" w:rsidP="00E71477">
            <w:pPr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761BD2" w:rsidTr="00761BD2">
        <w:tc>
          <w:tcPr>
            <w:tcW w:w="562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3. </w:t>
            </w:r>
            <w:r w:rsidR="003455AF" w:rsidRPr="00326255">
              <w:rPr>
                <w:rFonts w:cs="Times New Roman"/>
                <w:sz w:val="16"/>
                <w:szCs w:val="16"/>
              </w:rPr>
              <w:t xml:space="preserve">Проведение мероприятий по обеспечению </w:t>
            </w:r>
            <w:r w:rsidR="003455AF" w:rsidRPr="00326255">
              <w:rPr>
                <w:rFonts w:cs="Times New Roman"/>
                <w:sz w:val="16"/>
                <w:szCs w:val="16"/>
              </w:rPr>
              <w:lastRenderedPageBreak/>
              <w:t>занятости несовершеннолетних</w:t>
            </w:r>
          </w:p>
        </w:tc>
        <w:tc>
          <w:tcPr>
            <w:tcW w:w="1134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761BD2">
              <w:rPr>
                <w:rFonts w:cs="Times New Roman"/>
                <w:sz w:val="16"/>
                <w:szCs w:val="16"/>
              </w:rPr>
              <w:lastRenderedPageBreak/>
              <w:t>округа Электросталь</w:t>
            </w:r>
          </w:p>
        </w:tc>
        <w:tc>
          <w:tcPr>
            <w:tcW w:w="1124" w:type="dxa"/>
          </w:tcPr>
          <w:p w:rsidR="003455AF" w:rsidRPr="00761BD2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10341,37</w:t>
            </w:r>
          </w:p>
        </w:tc>
        <w:tc>
          <w:tcPr>
            <w:tcW w:w="861" w:type="dxa"/>
          </w:tcPr>
          <w:p w:rsidR="00CE02AC" w:rsidRPr="00761BD2" w:rsidRDefault="00CE02AC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500000</w:t>
            </w:r>
          </w:p>
          <w:p w:rsidR="003455AF" w:rsidRPr="00761BD2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«ЭГЦПВ»</w:t>
            </w:r>
          </w:p>
        </w:tc>
        <w:tc>
          <w:tcPr>
            <w:tcW w:w="1383" w:type="dxa"/>
            <w:vMerge/>
          </w:tcPr>
          <w:p w:rsidR="003455AF" w:rsidRPr="00761BD2" w:rsidRDefault="003455AF" w:rsidP="003455A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4. </w:t>
            </w:r>
            <w:r w:rsidR="00E71477" w:rsidRPr="00326255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rPr>
          <w:trHeight w:val="936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5. </w:t>
            </w:r>
          </w:p>
          <w:p w:rsidR="00E71477" w:rsidRPr="00326255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326255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761BD2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F56B3" w:rsidRPr="00761BD2" w:rsidTr="00761BD2">
        <w:tc>
          <w:tcPr>
            <w:tcW w:w="562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761BD2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2121B" w:rsidRPr="00761BD2" w:rsidTr="00761BD2">
        <w:tc>
          <w:tcPr>
            <w:tcW w:w="562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326255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326255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326255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761BD2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761BD2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761BD2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326255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326255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детей и молодежи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24" w:type="dxa"/>
          </w:tcPr>
          <w:p w:rsidR="0039067A" w:rsidRPr="00761BD2" w:rsidRDefault="009A19B0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9067A" w:rsidRPr="00761BD2" w:rsidRDefault="009A19B0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470442" w:rsidRDefault="0047044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E71477" w:rsidRPr="00E27A7D" w:rsidRDefault="00E71477" w:rsidP="00761BD2">
      <w:pPr>
        <w:spacing w:line="259" w:lineRule="auto"/>
        <w:ind w:firstLine="8364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761BD2">
        <w:tc>
          <w:tcPr>
            <w:tcW w:w="2486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761BD2">
        <w:tc>
          <w:tcPr>
            <w:tcW w:w="2486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761BD2">
        <w:tc>
          <w:tcPr>
            <w:tcW w:w="2486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7A143F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761BD2">
        <w:tc>
          <w:tcPr>
            <w:tcW w:w="2486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8A79FE" w:rsidRDefault="007A143F" w:rsidP="008B7F59">
            <w:pPr>
              <w:jc w:val="center"/>
            </w:pPr>
            <w:r>
              <w:t>54479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BC304F">
          <w:pgSz w:w="16838" w:h="11906" w:orient="landscape"/>
          <w:pgMar w:top="1701" w:right="567" w:bottom="1134" w:left="1560" w:header="709" w:footer="709" w:gutter="0"/>
          <w:pgNumType w:start="31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rPr>
          <w:trHeight w:val="1396"/>
        </w:trPr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90" w:type="dxa"/>
          </w:tcPr>
          <w:p w:rsidR="00EB0062" w:rsidRPr="00326255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326255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B0062" w:rsidRPr="00326255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326255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7A143F" w:rsidRPr="00761BD2" w:rsidTr="00761BD2">
        <w:tc>
          <w:tcPr>
            <w:tcW w:w="56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7A143F" w:rsidRPr="0032625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143F" w:rsidRPr="00761BD2" w:rsidTr="00761BD2">
        <w:tc>
          <w:tcPr>
            <w:tcW w:w="56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6772D6" w:rsidRDefault="006772D6">
      <w:pPr>
        <w:spacing w:after="160" w:line="259" w:lineRule="auto"/>
        <w:rPr>
          <w:rFonts w:cs="Times New Roman"/>
        </w:rPr>
      </w:pP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421A6A" w:rsidRPr="00421A6A" w:rsidTr="00761BD2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761BD2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761BD2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761BD2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421A6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Default="00DC0A05" w:rsidP="005231A2">
      <w:pPr>
        <w:jc w:val="center"/>
        <w:rPr>
          <w:rFonts w:eastAsia="Calibri" w:cs="Times New Roman"/>
          <w:lang w:eastAsia="en-US"/>
        </w:rPr>
      </w:pPr>
    </w:p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421A6A" w:rsidRPr="000C38B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71477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71477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70442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70442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470442">
        <w:trPr>
          <w:trHeight w:val="54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F026E" w:rsidRPr="000C38BF" w:rsidTr="00470442">
        <w:trPr>
          <w:trHeight w:val="159"/>
        </w:trPr>
        <w:tc>
          <w:tcPr>
            <w:tcW w:w="562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61BD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pPr>
              <w:rPr>
                <w:rFonts w:cs="Times New Roman"/>
                <w:sz w:val="22"/>
                <w:szCs w:val="18"/>
              </w:rPr>
            </w:pPr>
            <w:r w:rsidRPr="00761BD2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026E" w:rsidRPr="00E970B5" w:rsidTr="00470442">
        <w:tc>
          <w:tcPr>
            <w:tcW w:w="562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r w:rsidRPr="00761BD2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6772D6" w:rsidRPr="002F026E" w:rsidRDefault="006772D6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772D6" w:rsidRPr="002F026E" w:rsidSect="0076047E">
      <w:pgSz w:w="16838" w:h="11906" w:orient="landscape"/>
      <w:pgMar w:top="1702" w:right="113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63" w:rsidRDefault="000D0663" w:rsidP="000B742A">
      <w:r>
        <w:separator/>
      </w:r>
    </w:p>
  </w:endnote>
  <w:endnote w:type="continuationSeparator" w:id="0">
    <w:p w:rsidR="000D0663" w:rsidRDefault="000D0663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63" w:rsidRDefault="000D0663" w:rsidP="000B742A">
      <w:r>
        <w:separator/>
      </w:r>
    </w:p>
  </w:footnote>
  <w:footnote w:type="continuationSeparator" w:id="0">
    <w:p w:rsidR="000D0663" w:rsidRDefault="000D0663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EndPr/>
    <w:sdtContent>
      <w:p w:rsidR="000D0663" w:rsidRDefault="000D06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D6">
          <w:rPr>
            <w:noProof/>
          </w:rPr>
          <w:t>21</w:t>
        </w:r>
        <w:r>
          <w:fldChar w:fldCharType="end"/>
        </w:r>
      </w:p>
    </w:sdtContent>
  </w:sdt>
  <w:p w:rsidR="000D0663" w:rsidRDefault="000D06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52C58"/>
    <w:rsid w:val="000565DA"/>
    <w:rsid w:val="00062491"/>
    <w:rsid w:val="000745C0"/>
    <w:rsid w:val="000B742A"/>
    <w:rsid w:val="000C38BF"/>
    <w:rsid w:val="000C5197"/>
    <w:rsid w:val="000D0663"/>
    <w:rsid w:val="000D1BB5"/>
    <w:rsid w:val="000E742D"/>
    <w:rsid w:val="000F0C61"/>
    <w:rsid w:val="000F4241"/>
    <w:rsid w:val="001153B7"/>
    <w:rsid w:val="00140C3C"/>
    <w:rsid w:val="0022489F"/>
    <w:rsid w:val="00224B05"/>
    <w:rsid w:val="002443A0"/>
    <w:rsid w:val="0024491C"/>
    <w:rsid w:val="00286C14"/>
    <w:rsid w:val="002A1C15"/>
    <w:rsid w:val="002A3249"/>
    <w:rsid w:val="002C44D8"/>
    <w:rsid w:val="002D7754"/>
    <w:rsid w:val="002E043E"/>
    <w:rsid w:val="002F026E"/>
    <w:rsid w:val="00322B19"/>
    <w:rsid w:val="0032510C"/>
    <w:rsid w:val="00326255"/>
    <w:rsid w:val="003455AF"/>
    <w:rsid w:val="00366383"/>
    <w:rsid w:val="003731FD"/>
    <w:rsid w:val="00377D05"/>
    <w:rsid w:val="003818D2"/>
    <w:rsid w:val="0038268D"/>
    <w:rsid w:val="0039067A"/>
    <w:rsid w:val="00390ABD"/>
    <w:rsid w:val="003943FD"/>
    <w:rsid w:val="003C2155"/>
    <w:rsid w:val="003C54A2"/>
    <w:rsid w:val="003F7445"/>
    <w:rsid w:val="00401E4A"/>
    <w:rsid w:val="00421A6A"/>
    <w:rsid w:val="0042745C"/>
    <w:rsid w:val="00427F11"/>
    <w:rsid w:val="00454CD9"/>
    <w:rsid w:val="00461EC5"/>
    <w:rsid w:val="00462E2A"/>
    <w:rsid w:val="00470442"/>
    <w:rsid w:val="00484ABF"/>
    <w:rsid w:val="00495AC6"/>
    <w:rsid w:val="0049671C"/>
    <w:rsid w:val="004B0C8A"/>
    <w:rsid w:val="004D2179"/>
    <w:rsid w:val="004E7D29"/>
    <w:rsid w:val="0050202D"/>
    <w:rsid w:val="00520DCB"/>
    <w:rsid w:val="005231A2"/>
    <w:rsid w:val="00525A53"/>
    <w:rsid w:val="00537173"/>
    <w:rsid w:val="00565A3F"/>
    <w:rsid w:val="0059377D"/>
    <w:rsid w:val="005A4D59"/>
    <w:rsid w:val="005B0F8D"/>
    <w:rsid w:val="005B1E26"/>
    <w:rsid w:val="005D4401"/>
    <w:rsid w:val="005E2144"/>
    <w:rsid w:val="0060046A"/>
    <w:rsid w:val="0060301E"/>
    <w:rsid w:val="006772D6"/>
    <w:rsid w:val="006874D8"/>
    <w:rsid w:val="006A4B06"/>
    <w:rsid w:val="006A5209"/>
    <w:rsid w:val="006B3EE5"/>
    <w:rsid w:val="006D3B2B"/>
    <w:rsid w:val="0071170B"/>
    <w:rsid w:val="0076047E"/>
    <w:rsid w:val="00761BD2"/>
    <w:rsid w:val="007A143F"/>
    <w:rsid w:val="007C2A8F"/>
    <w:rsid w:val="007D0C96"/>
    <w:rsid w:val="00810CA0"/>
    <w:rsid w:val="00812F09"/>
    <w:rsid w:val="00843F10"/>
    <w:rsid w:val="00870297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55A60"/>
    <w:rsid w:val="0097108E"/>
    <w:rsid w:val="009742D3"/>
    <w:rsid w:val="009A19B0"/>
    <w:rsid w:val="009A6844"/>
    <w:rsid w:val="009B13B6"/>
    <w:rsid w:val="009B69A5"/>
    <w:rsid w:val="009C0364"/>
    <w:rsid w:val="009C0F44"/>
    <w:rsid w:val="009D3356"/>
    <w:rsid w:val="009D3436"/>
    <w:rsid w:val="009E54F4"/>
    <w:rsid w:val="009E5551"/>
    <w:rsid w:val="009F239E"/>
    <w:rsid w:val="00A33577"/>
    <w:rsid w:val="00A338D2"/>
    <w:rsid w:val="00A42138"/>
    <w:rsid w:val="00A53BF4"/>
    <w:rsid w:val="00A544D4"/>
    <w:rsid w:val="00A55F79"/>
    <w:rsid w:val="00A70E30"/>
    <w:rsid w:val="00A7258F"/>
    <w:rsid w:val="00AA0E7D"/>
    <w:rsid w:val="00AA1C86"/>
    <w:rsid w:val="00AB3E1F"/>
    <w:rsid w:val="00AF0294"/>
    <w:rsid w:val="00AF295F"/>
    <w:rsid w:val="00B1370B"/>
    <w:rsid w:val="00B33DE3"/>
    <w:rsid w:val="00B52FF9"/>
    <w:rsid w:val="00B6246C"/>
    <w:rsid w:val="00B661A3"/>
    <w:rsid w:val="00BA2EA6"/>
    <w:rsid w:val="00BB600F"/>
    <w:rsid w:val="00BC1D81"/>
    <w:rsid w:val="00BC304F"/>
    <w:rsid w:val="00BC63EA"/>
    <w:rsid w:val="00BD0D66"/>
    <w:rsid w:val="00BE0958"/>
    <w:rsid w:val="00BE0D03"/>
    <w:rsid w:val="00BE68AE"/>
    <w:rsid w:val="00BF2963"/>
    <w:rsid w:val="00C22E57"/>
    <w:rsid w:val="00C44661"/>
    <w:rsid w:val="00C4705B"/>
    <w:rsid w:val="00C53A62"/>
    <w:rsid w:val="00C57ADC"/>
    <w:rsid w:val="00C61449"/>
    <w:rsid w:val="00C6670D"/>
    <w:rsid w:val="00C77506"/>
    <w:rsid w:val="00C93B63"/>
    <w:rsid w:val="00CB1404"/>
    <w:rsid w:val="00CB3940"/>
    <w:rsid w:val="00CD1764"/>
    <w:rsid w:val="00CE02AC"/>
    <w:rsid w:val="00D2121B"/>
    <w:rsid w:val="00D53605"/>
    <w:rsid w:val="00D57201"/>
    <w:rsid w:val="00DA75CD"/>
    <w:rsid w:val="00DC0A05"/>
    <w:rsid w:val="00DC5A3D"/>
    <w:rsid w:val="00DC62BF"/>
    <w:rsid w:val="00DE6371"/>
    <w:rsid w:val="00E00B59"/>
    <w:rsid w:val="00E27A7D"/>
    <w:rsid w:val="00E362B9"/>
    <w:rsid w:val="00E404C3"/>
    <w:rsid w:val="00E448DD"/>
    <w:rsid w:val="00E468CC"/>
    <w:rsid w:val="00E67A19"/>
    <w:rsid w:val="00E71477"/>
    <w:rsid w:val="00E84E6C"/>
    <w:rsid w:val="00E86B18"/>
    <w:rsid w:val="00E970B5"/>
    <w:rsid w:val="00EA059C"/>
    <w:rsid w:val="00EB0062"/>
    <w:rsid w:val="00EE6FBB"/>
    <w:rsid w:val="00EF0523"/>
    <w:rsid w:val="00F163D0"/>
    <w:rsid w:val="00F1730A"/>
    <w:rsid w:val="00F37E67"/>
    <w:rsid w:val="00F401A0"/>
    <w:rsid w:val="00F42C94"/>
    <w:rsid w:val="00F42D03"/>
    <w:rsid w:val="00F433EC"/>
    <w:rsid w:val="00F461E5"/>
    <w:rsid w:val="00F50D8E"/>
    <w:rsid w:val="00F87B3D"/>
    <w:rsid w:val="00FA3D1D"/>
    <w:rsid w:val="00FC77F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456A39EB2CD9C5F4A111B15C398661E67B26AF86CA451C94EC18358SC4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AB16EFA6BA451C94EC18358SC4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4B764FF6EA451C94EC18358CBFAE78ED0A1163FB4E9E6SD4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01500C398661D62BE6AFF62A451C94EC18358SC4BO" TargetMode="External"/><Relationship Id="rId10" Type="http://schemas.openxmlformats.org/officeDocument/2006/relationships/hyperlink" Target="http://www.moscow_reg.izbirkom.ru/chislennost-izbiratele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B9456A39EB2CD9C5F4A101500C398661D62BF65FD68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BD93-F4CF-447E-A515-27D02190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39</Pages>
  <Words>8998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7</cp:revision>
  <cp:lastPrinted>2019-12-16T13:32:00Z</cp:lastPrinted>
  <dcterms:created xsi:type="dcterms:W3CDTF">2019-12-16T09:28:00Z</dcterms:created>
  <dcterms:modified xsi:type="dcterms:W3CDTF">2019-12-19T15:30:00Z</dcterms:modified>
</cp:coreProperties>
</file>