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 wp14:anchorId="374C1BEE" wp14:editId="7DD83EEB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FA5FE7">
      <w:pPr>
        <w:ind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4B1AEC" w:rsidP="004B1AEC">
      <w:pPr>
        <w:tabs>
          <w:tab w:val="left" w:pos="3555"/>
        </w:tabs>
        <w:ind w:left="-1560" w:right="-850"/>
        <w:outlineLvl w:val="0"/>
        <w:rPr>
          <w:b/>
        </w:rPr>
      </w:pPr>
      <w:r>
        <w:rPr>
          <w:b/>
        </w:rPr>
        <w:tab/>
      </w: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>_____</w:t>
      </w:r>
      <w:r w:rsidR="003F2FE4">
        <w:rPr>
          <w:u w:val="single"/>
        </w:rPr>
        <w:t>26.12.2022</w:t>
      </w:r>
      <w:r w:rsidRPr="00B4173D">
        <w:rPr>
          <w:b/>
        </w:rPr>
        <w:t xml:space="preserve">____ </w:t>
      </w:r>
      <w:r w:rsidRPr="00537687">
        <w:t xml:space="preserve">№ </w:t>
      </w:r>
      <w:r w:rsidRPr="00B4173D">
        <w:t>_____</w:t>
      </w:r>
      <w:r w:rsidR="003F2FE4">
        <w:rPr>
          <w:u w:val="single"/>
        </w:rPr>
        <w:t>1533/12</w:t>
      </w:r>
      <w:r w:rsidRPr="00B4173D">
        <w:t>_________</w:t>
      </w:r>
    </w:p>
    <w:p w:rsidR="004E3805" w:rsidRPr="0039322A" w:rsidRDefault="00191E54" w:rsidP="00191E54">
      <w:pPr>
        <w:outlineLvl w:val="0"/>
      </w:pPr>
      <w:r w:rsidRPr="00B4173D">
        <w:tab/>
      </w:r>
      <w:r w:rsidRPr="00B4173D">
        <w:tab/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4E3805" w:rsidRPr="0039322A" w:rsidRDefault="004E3805" w:rsidP="00C51E16">
      <w:pPr>
        <w:jc w:val="both"/>
        <w:rPr>
          <w:sz w:val="20"/>
          <w:szCs w:val="26"/>
        </w:rPr>
      </w:pPr>
    </w:p>
    <w:p w:rsidR="009A70E3" w:rsidRPr="009A70E3" w:rsidRDefault="00191E54" w:rsidP="00C51E16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0D79C3">
        <w:rPr>
          <w:kern w:val="16"/>
        </w:rPr>
        <w:t>, от 03.11.2022 №1254/11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C51E16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</w:t>
      </w:r>
      <w:r w:rsidR="00B427AC" w:rsidRPr="00B427AC">
        <w:rPr>
          <w:bCs/>
          <w:color w:val="000000" w:themeColor="text1"/>
        </w:rPr>
        <w:t xml:space="preserve"> </w:t>
      </w:r>
      <w:r w:rsidR="00B427AC">
        <w:rPr>
          <w:bCs/>
          <w:color w:val="000000" w:themeColor="text1"/>
        </w:rPr>
        <w:t>от 07.10.2022 №1151/10</w:t>
      </w:r>
      <w:r w:rsidR="00444D82">
        <w:rPr>
          <w:bCs/>
          <w:color w:val="000000" w:themeColor="text1"/>
        </w:rPr>
        <w:t>, от 25.10.2022 №1214/10</w:t>
      </w:r>
      <w:r w:rsidR="00EB1AA7">
        <w:rPr>
          <w:bCs/>
          <w:color w:val="000000" w:themeColor="text1"/>
        </w:rPr>
        <w:t>, от 22.11.2022 №1328/11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2. Опублик</w:t>
      </w:r>
      <w:r w:rsidR="00F55BC9">
        <w:t xml:space="preserve">овать настоящее постановление </w:t>
      </w:r>
      <w:r w:rsidRPr="005221FB">
        <w:t>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</w:t>
      </w:r>
      <w:r w:rsidR="002B3EF2">
        <w:t xml:space="preserve"> и</w:t>
      </w:r>
      <w:r w:rsidR="002B3EF2">
        <w:rPr>
          <w:rFonts w:cs="Times New Roman"/>
        </w:rPr>
        <w:t> </w:t>
      </w:r>
      <w:r w:rsidR="002B3EF2">
        <w:t>действует до 01.04.2023</w:t>
      </w:r>
      <w:r w:rsidRPr="005221FB">
        <w:t>.</w:t>
      </w:r>
    </w:p>
    <w:p w:rsidR="00BA09CB" w:rsidRDefault="00191E54" w:rsidP="00C51E16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FA5FE7" w:rsidRDefault="00FA5FE7" w:rsidP="00B427AC">
      <w:pPr>
        <w:tabs>
          <w:tab w:val="center" w:pos="4677"/>
        </w:tabs>
        <w:jc w:val="both"/>
      </w:pPr>
    </w:p>
    <w:p w:rsidR="00F55BC9" w:rsidRPr="005221FB" w:rsidRDefault="00F55BC9" w:rsidP="00B427AC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C51E16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4E3805" w:rsidRDefault="004E3805" w:rsidP="00191E54">
      <w:pPr>
        <w:spacing w:line="240" w:lineRule="exact"/>
        <w:jc w:val="both"/>
        <w:rPr>
          <w:sz w:val="26"/>
          <w:szCs w:val="26"/>
        </w:rPr>
      </w:pPr>
    </w:p>
    <w:p w:rsidR="004E3805" w:rsidRDefault="004E3805" w:rsidP="00191E54">
      <w:pPr>
        <w:spacing w:line="240" w:lineRule="exact"/>
        <w:jc w:val="both"/>
        <w:rPr>
          <w:sz w:val="26"/>
          <w:szCs w:val="26"/>
        </w:rPr>
      </w:pPr>
    </w:p>
    <w:p w:rsidR="00191E54" w:rsidRDefault="00191E54" w:rsidP="00E83546">
      <w:pPr>
        <w:spacing w:line="240" w:lineRule="exact"/>
        <w:jc w:val="both"/>
        <w:outlineLvl w:val="0"/>
        <w:rPr>
          <w:rFonts w:cs="Times New Roman"/>
          <w:sz w:val="22"/>
          <w:szCs w:val="22"/>
        </w:rPr>
      </w:pPr>
      <w:r w:rsidRPr="00191E54">
        <w:rPr>
          <w:sz w:val="22"/>
          <w:szCs w:val="22"/>
        </w:rPr>
        <w:t xml:space="preserve">Рассылка: </w:t>
      </w:r>
      <w:r w:rsidR="007F1D39">
        <w:rPr>
          <w:sz w:val="22"/>
          <w:szCs w:val="22"/>
        </w:rPr>
        <w:t>Печниковой О.В., Денисову В.А.,</w:t>
      </w:r>
      <w:r w:rsidRPr="003242B5">
        <w:rPr>
          <w:color w:val="FF0000"/>
          <w:sz w:val="22"/>
          <w:szCs w:val="22"/>
        </w:rPr>
        <w:t xml:space="preserve"> </w:t>
      </w:r>
      <w:r w:rsidRPr="00191E54">
        <w:rPr>
          <w:sz w:val="22"/>
          <w:szCs w:val="22"/>
        </w:rPr>
        <w:t xml:space="preserve">Бузурной И.В., </w:t>
      </w:r>
      <w:r w:rsidR="0010096D">
        <w:rPr>
          <w:sz w:val="22"/>
          <w:szCs w:val="22"/>
        </w:rPr>
        <w:t>Никитиной.</w:t>
      </w:r>
      <w:r w:rsidR="003741C9" w:rsidRPr="00937339">
        <w:rPr>
          <w:sz w:val="22"/>
          <w:szCs w:val="22"/>
        </w:rPr>
        <w:t>, Е.В</w:t>
      </w:r>
      <w:r w:rsidRPr="00191E54">
        <w:rPr>
          <w:sz w:val="22"/>
          <w:szCs w:val="22"/>
        </w:rPr>
        <w:t>, Журавлеву М.А. – 2 экз., Булановой Л.В., Даницкой Е.П., Елихину О.Н.,</w:t>
      </w:r>
      <w:r w:rsidR="003E1AF1">
        <w:rPr>
          <w:sz w:val="22"/>
          <w:szCs w:val="22"/>
        </w:rPr>
        <w:t xml:space="preserve"> </w:t>
      </w:r>
      <w:r w:rsidR="003E07EF">
        <w:rPr>
          <w:sz w:val="22"/>
          <w:szCs w:val="22"/>
        </w:rPr>
        <w:t>Буланов</w:t>
      </w:r>
      <w:r w:rsidR="00F539D2">
        <w:rPr>
          <w:sz w:val="22"/>
          <w:szCs w:val="22"/>
        </w:rPr>
        <w:t>у</w:t>
      </w:r>
      <w:r w:rsidR="003E07EF">
        <w:rPr>
          <w:sz w:val="22"/>
          <w:szCs w:val="22"/>
        </w:rPr>
        <w:t xml:space="preserve"> С.С.</w:t>
      </w:r>
      <w:r w:rsidR="00422149">
        <w:rPr>
          <w:sz w:val="22"/>
          <w:szCs w:val="22"/>
        </w:rPr>
        <w:t xml:space="preserve">, </w:t>
      </w:r>
      <w:r w:rsidRPr="00191E54">
        <w:rPr>
          <w:sz w:val="22"/>
          <w:szCs w:val="22"/>
        </w:rPr>
        <w:t>ООО</w:t>
      </w:r>
      <w:r w:rsidRPr="00191E54">
        <w:rPr>
          <w:sz w:val="22"/>
          <w:szCs w:val="22"/>
          <w:lang w:val="en-US"/>
        </w:rPr>
        <w:t> </w:t>
      </w:r>
      <w:r w:rsidRPr="00191E54">
        <w:rPr>
          <w:sz w:val="22"/>
          <w:szCs w:val="22"/>
        </w:rPr>
        <w:t>«ЭЛКОД», в</w:t>
      </w:r>
      <w:r w:rsidRPr="00191E54">
        <w:rPr>
          <w:sz w:val="22"/>
          <w:szCs w:val="22"/>
          <w:lang w:val="en-US"/>
        </w:rPr>
        <w:t> </w:t>
      </w:r>
      <w:r w:rsidRPr="00191E54">
        <w:rPr>
          <w:sz w:val="22"/>
          <w:szCs w:val="22"/>
        </w:rPr>
        <w:t>прокуратуру, в регистр муниципальных нормативных правовых актов, в дело</w:t>
      </w:r>
      <w:r>
        <w:rPr>
          <w:sz w:val="22"/>
          <w:szCs w:val="22"/>
        </w:rPr>
        <w:t>.</w:t>
      </w:r>
      <w:r w:rsidR="00554EDA" w:rsidRPr="00191E54">
        <w:rPr>
          <w:rFonts w:cs="Times New Roman"/>
          <w:sz w:val="22"/>
          <w:szCs w:val="22"/>
        </w:rPr>
        <w:t xml:space="preserve"> </w:t>
      </w:r>
      <w:r w:rsidR="00475321" w:rsidRPr="00191E54">
        <w:rPr>
          <w:rFonts w:cs="Times New Roman"/>
          <w:sz w:val="22"/>
          <w:szCs w:val="22"/>
        </w:rPr>
        <w:t xml:space="preserve"> </w:t>
      </w: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</w:t>
      </w:r>
      <w:r w:rsidR="003F2FE4">
        <w:rPr>
          <w:u w:val="single"/>
        </w:rPr>
        <w:t>26.12.2022</w:t>
      </w:r>
      <w:r w:rsidRPr="00984A7F">
        <w:t>___№____</w:t>
      </w:r>
      <w:r w:rsidR="003F2FE4">
        <w:rPr>
          <w:u w:val="single"/>
        </w:rPr>
        <w:t>1533/12</w:t>
      </w:r>
      <w:bookmarkStart w:id="0" w:name="_GoBack"/>
      <w:bookmarkEnd w:id="0"/>
      <w:r>
        <w:rPr>
          <w:u w:val="single"/>
        </w:rPr>
        <w:t>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 от 07.10.2022 №1151/10</w:t>
      </w:r>
      <w:r w:rsidR="00444D82">
        <w:rPr>
          <w:bCs/>
          <w:color w:val="000000" w:themeColor="text1"/>
        </w:rPr>
        <w:t>,</w:t>
      </w:r>
      <w:r w:rsidR="00444D82" w:rsidRPr="00444D82">
        <w:rPr>
          <w:bCs/>
          <w:color w:val="000000" w:themeColor="text1"/>
        </w:rPr>
        <w:t xml:space="preserve"> </w:t>
      </w:r>
      <w:r w:rsidR="00444D82">
        <w:rPr>
          <w:bCs/>
          <w:color w:val="000000" w:themeColor="text1"/>
        </w:rPr>
        <w:t>от 25.10.2022 №1214/10</w:t>
      </w:r>
      <w:r w:rsidR="00EB1AA7">
        <w:rPr>
          <w:bCs/>
          <w:color w:val="000000" w:themeColor="text1"/>
        </w:rPr>
        <w:t>, от 22.11.2022 №1328/11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992"/>
        <w:gridCol w:w="1134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lastRenderedPageBreak/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32B9A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63821" w:rsidRPr="00F42CBC" w:rsidRDefault="00E0184C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1 310342,6</w:t>
            </w:r>
          </w:p>
        </w:tc>
        <w:tc>
          <w:tcPr>
            <w:tcW w:w="992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1134" w:type="dxa"/>
          </w:tcPr>
          <w:p w:rsidR="0005095C" w:rsidRPr="00E0184C" w:rsidRDefault="00CD29A4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632B9A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73C11" w:rsidRPr="00E0184C" w:rsidRDefault="00A47E13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D73C11" w:rsidRPr="00E0184C" w:rsidRDefault="006A10AE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6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</w:tcPr>
          <w:p w:rsidR="00632B9A" w:rsidRPr="00363821" w:rsidRDefault="00E0184C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1 312 537,3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1134" w:type="dxa"/>
          </w:tcPr>
          <w:p w:rsidR="0005095C" w:rsidRPr="00252DA7" w:rsidRDefault="00CD29A4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E0184C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3F2FE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3F2FE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3F2FE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3F2FE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3F2FE4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EA118A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567D92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567D92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D367F5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567D92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>Макропоказатель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>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7879C4" w:rsidRPr="002618A2" w:rsidTr="007879C4">
        <w:trPr>
          <w:trHeight w:val="926"/>
        </w:trPr>
        <w:tc>
          <w:tcPr>
            <w:tcW w:w="3606" w:type="dxa"/>
          </w:tcPr>
          <w:p w:rsidR="007879C4" w:rsidRPr="002618A2" w:rsidRDefault="007879C4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7879C4" w:rsidRPr="00221A02" w:rsidRDefault="007879C4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7879C4" w:rsidRPr="00D11737" w:rsidRDefault="007879C4" w:rsidP="00787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D11737" w:rsidRDefault="007879C4" w:rsidP="007E16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CF348C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2A50D2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221A02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E573A5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6A01F3" w:rsidRDefault="00796E8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E573A5" w:rsidRDefault="007E1622" w:rsidP="007E162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6A01F3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2741EE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7C64B3">
              <w:rPr>
                <w:sz w:val="20"/>
                <w:szCs w:val="20"/>
              </w:rPr>
              <w:t>568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73618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7C64B3">
              <w:rPr>
                <w:sz w:val="20"/>
                <w:szCs w:val="20"/>
              </w:rPr>
              <w:t>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182E79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CC116B" w:rsidRDefault="00940369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CC116B" w:rsidRDefault="00940369" w:rsidP="007C6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C32217" w:rsidRDefault="00572426" w:rsidP="00CC116B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796E82">
              <w:rPr>
                <w:rFonts w:ascii="Times New Roman" w:hAnsi="Times New Roman" w:cs="Times New Roman"/>
                <w:sz w:val="20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572426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C32217" w:rsidRDefault="00572426" w:rsidP="006C37A3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89171F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572426" w:rsidRPr="00E573A5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6C37A3" w:rsidRPr="0039322A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418"/>
        <w:gridCol w:w="992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2C4838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4779D0" w:rsidRPr="00D73C11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1,9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736182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62947" w:rsidRPr="006A01F3" w:rsidRDefault="0089171F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</w:t>
            </w:r>
            <w:r w:rsidR="006F762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89171F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985C97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</w:t>
            </w:r>
            <w:r w:rsidR="0089171F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71F" w:rsidRPr="00551B1F" w:rsidTr="007B7F56">
        <w:tc>
          <w:tcPr>
            <w:tcW w:w="709" w:type="dxa"/>
            <w:vMerge w:val="restart"/>
          </w:tcPr>
          <w:p w:rsidR="0089171F" w:rsidRPr="00551B1F" w:rsidRDefault="0089171F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89171F" w:rsidRPr="00551B1F" w:rsidTr="007B7F56">
        <w:tc>
          <w:tcPr>
            <w:tcW w:w="709" w:type="dxa"/>
            <w:vMerge/>
          </w:tcPr>
          <w:p w:rsidR="0089171F" w:rsidRPr="00551B1F" w:rsidRDefault="0089171F" w:rsidP="008917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4779D0" w:rsidP="00B7120F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</w:t>
            </w:r>
            <w:r w:rsidR="00B7120F">
              <w:rPr>
                <w:sz w:val="20"/>
                <w:szCs w:val="18"/>
              </w:rPr>
              <w:t>2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216 990,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B7120F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79D0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4779D0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</w:t>
            </w:r>
            <w:r w:rsidR="00B7120F">
              <w:rPr>
                <w:sz w:val="20"/>
                <w:szCs w:val="18"/>
              </w:rPr>
              <w:t>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4779D0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779D0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B7120F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B7120F" w:rsidP="006E6C3D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4A2DCB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B7120F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4A2DCB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6C3D" w:rsidRPr="00315CD9" w:rsidRDefault="00736182" w:rsidP="00B7120F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</w:t>
            </w:r>
            <w:r w:rsidR="004A2DCB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B7120F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6E6C3D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F73E63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B7120F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566556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29000</w:t>
            </w:r>
            <w:r w:rsidR="00F818E9"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767F9A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F818E9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566556">
              <w:rPr>
                <w:sz w:val="20"/>
                <w:szCs w:val="18"/>
              </w:rPr>
              <w:t>9000</w:t>
            </w:r>
            <w:r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73E63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</w:t>
            </w:r>
            <w:r w:rsidR="00F73E63">
              <w:rPr>
                <w:sz w:val="20"/>
                <w:szCs w:val="18"/>
              </w:rPr>
              <w:t>869,4</w:t>
            </w:r>
          </w:p>
        </w:tc>
        <w:tc>
          <w:tcPr>
            <w:tcW w:w="1134" w:type="dxa"/>
          </w:tcPr>
          <w:p w:rsidR="00F818E9" w:rsidRPr="004E5A5D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</w:tcPr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F818E9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/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4F2EA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4F2EAE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</w:tc>
        <w:tc>
          <w:tcPr>
            <w:tcW w:w="1134" w:type="dxa"/>
          </w:tcPr>
          <w:p w:rsidR="009B707B" w:rsidRPr="004E5A5D" w:rsidRDefault="00F73E63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4F2EAE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>Обеспечение выполнения 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5D6" w:rsidRPr="003A6559" w:rsidTr="00937339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 w:val="restart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A45D6" w:rsidRPr="002618A2" w:rsidTr="00FA5FE7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/>
          </w:tcPr>
          <w:p w:rsidR="006A45D6" w:rsidRPr="002618A2" w:rsidRDefault="006A45D6" w:rsidP="006A45D6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851"/>
        <w:gridCol w:w="1842"/>
        <w:gridCol w:w="1701"/>
      </w:tblGrid>
      <w:tr w:rsidR="004B3B84" w:rsidRPr="00551B1F" w:rsidTr="00566556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70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566556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2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566556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554"/>
        </w:trPr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Default="002233B0" w:rsidP="002233B0">
      <w:r w:rsidRPr="00551B1F">
        <w:t xml:space="preserve">Верно:         _______________________________ / </w:t>
      </w:r>
      <w:r w:rsidR="003F5C71">
        <w:t>М.А.</w:t>
      </w:r>
      <w:r w:rsidR="00032D01">
        <w:t xml:space="preserve"> </w:t>
      </w:r>
      <w:r w:rsidR="003F5C71">
        <w:t>Журавлев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C9" w:rsidRDefault="00F55BC9" w:rsidP="00817E29">
      <w:r>
        <w:separator/>
      </w:r>
    </w:p>
  </w:endnote>
  <w:endnote w:type="continuationSeparator" w:id="0">
    <w:p w:rsidR="00F55BC9" w:rsidRDefault="00F55BC9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C9" w:rsidRDefault="00F55BC9" w:rsidP="00817E29">
      <w:r>
        <w:separator/>
      </w:r>
    </w:p>
  </w:footnote>
  <w:footnote w:type="continuationSeparator" w:id="0">
    <w:p w:rsidR="00F55BC9" w:rsidRDefault="00F55BC9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F55BC9" w:rsidRDefault="00F55B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2F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5BC9" w:rsidRDefault="00F55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0A3D"/>
    <w:rsid w:val="00032D01"/>
    <w:rsid w:val="000355C3"/>
    <w:rsid w:val="0003705B"/>
    <w:rsid w:val="0004528D"/>
    <w:rsid w:val="000464A1"/>
    <w:rsid w:val="00046880"/>
    <w:rsid w:val="00047184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6DA3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9C3"/>
    <w:rsid w:val="000D7D95"/>
    <w:rsid w:val="000E0E99"/>
    <w:rsid w:val="000E3BE5"/>
    <w:rsid w:val="000F47B7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2CF4"/>
    <w:rsid w:val="001758CD"/>
    <w:rsid w:val="00182E79"/>
    <w:rsid w:val="00185D17"/>
    <w:rsid w:val="001861FB"/>
    <w:rsid w:val="00187CBE"/>
    <w:rsid w:val="00190217"/>
    <w:rsid w:val="00191E54"/>
    <w:rsid w:val="00194138"/>
    <w:rsid w:val="001953D1"/>
    <w:rsid w:val="001A2A08"/>
    <w:rsid w:val="001A60F3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2C86"/>
    <w:rsid w:val="002135D0"/>
    <w:rsid w:val="0021443B"/>
    <w:rsid w:val="00221A02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3EF2"/>
    <w:rsid w:val="002B4812"/>
    <w:rsid w:val="002B68C3"/>
    <w:rsid w:val="002B7AEB"/>
    <w:rsid w:val="002B7F8A"/>
    <w:rsid w:val="002C1269"/>
    <w:rsid w:val="002C4838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3360"/>
    <w:rsid w:val="00355C24"/>
    <w:rsid w:val="00357406"/>
    <w:rsid w:val="00362A0A"/>
    <w:rsid w:val="00363821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8223F"/>
    <w:rsid w:val="0039049F"/>
    <w:rsid w:val="0039322A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07EF"/>
    <w:rsid w:val="003E1AF1"/>
    <w:rsid w:val="003E1BA4"/>
    <w:rsid w:val="003E796C"/>
    <w:rsid w:val="003F21D5"/>
    <w:rsid w:val="003F2E3C"/>
    <w:rsid w:val="003F2FE4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149"/>
    <w:rsid w:val="00422E41"/>
    <w:rsid w:val="004250C8"/>
    <w:rsid w:val="00426A5C"/>
    <w:rsid w:val="00435988"/>
    <w:rsid w:val="00437991"/>
    <w:rsid w:val="004401F4"/>
    <w:rsid w:val="00440AE9"/>
    <w:rsid w:val="004424EC"/>
    <w:rsid w:val="00443735"/>
    <w:rsid w:val="00444A6A"/>
    <w:rsid w:val="00444D82"/>
    <w:rsid w:val="004516AF"/>
    <w:rsid w:val="00452573"/>
    <w:rsid w:val="00454476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9D0"/>
    <w:rsid w:val="00477B2B"/>
    <w:rsid w:val="0048014A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2DCB"/>
    <w:rsid w:val="004A63E9"/>
    <w:rsid w:val="004B1AEC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05CC"/>
    <w:rsid w:val="004D18CD"/>
    <w:rsid w:val="004D4CA0"/>
    <w:rsid w:val="004D5688"/>
    <w:rsid w:val="004E0D2F"/>
    <w:rsid w:val="004E1982"/>
    <w:rsid w:val="004E3805"/>
    <w:rsid w:val="004E5A5D"/>
    <w:rsid w:val="004F0E8C"/>
    <w:rsid w:val="004F267B"/>
    <w:rsid w:val="004F2DBB"/>
    <w:rsid w:val="004F2EAE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6556"/>
    <w:rsid w:val="0056708B"/>
    <w:rsid w:val="00567D92"/>
    <w:rsid w:val="0057038E"/>
    <w:rsid w:val="00572426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948D4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66F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2B9A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45D6"/>
    <w:rsid w:val="006A5209"/>
    <w:rsid w:val="006A7625"/>
    <w:rsid w:val="006A7FFD"/>
    <w:rsid w:val="006B12C8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62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4D2D"/>
    <w:rsid w:val="00717197"/>
    <w:rsid w:val="00717D31"/>
    <w:rsid w:val="00724AD4"/>
    <w:rsid w:val="00730286"/>
    <w:rsid w:val="00732454"/>
    <w:rsid w:val="007347DF"/>
    <w:rsid w:val="00734C27"/>
    <w:rsid w:val="007355E9"/>
    <w:rsid w:val="00736182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34C"/>
    <w:rsid w:val="00782521"/>
    <w:rsid w:val="007869BE"/>
    <w:rsid w:val="00786A1D"/>
    <w:rsid w:val="007879C4"/>
    <w:rsid w:val="007903E5"/>
    <w:rsid w:val="007936DD"/>
    <w:rsid w:val="00794BBB"/>
    <w:rsid w:val="00796E82"/>
    <w:rsid w:val="007B09A6"/>
    <w:rsid w:val="007B1BB4"/>
    <w:rsid w:val="007B22DD"/>
    <w:rsid w:val="007B32C6"/>
    <w:rsid w:val="007B3ED6"/>
    <w:rsid w:val="007B773E"/>
    <w:rsid w:val="007B7F56"/>
    <w:rsid w:val="007C0C42"/>
    <w:rsid w:val="007C146B"/>
    <w:rsid w:val="007C1C87"/>
    <w:rsid w:val="007C3A7E"/>
    <w:rsid w:val="007C3C0A"/>
    <w:rsid w:val="007C64B3"/>
    <w:rsid w:val="007C7397"/>
    <w:rsid w:val="007D00F7"/>
    <w:rsid w:val="007D04F2"/>
    <w:rsid w:val="007D1569"/>
    <w:rsid w:val="007D5867"/>
    <w:rsid w:val="007D748D"/>
    <w:rsid w:val="007E12EF"/>
    <w:rsid w:val="007E1622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171F"/>
    <w:rsid w:val="00892A79"/>
    <w:rsid w:val="00894CA3"/>
    <w:rsid w:val="00895AD6"/>
    <w:rsid w:val="00896928"/>
    <w:rsid w:val="00897D84"/>
    <w:rsid w:val="008A1810"/>
    <w:rsid w:val="008A2418"/>
    <w:rsid w:val="008A31B8"/>
    <w:rsid w:val="008A58F9"/>
    <w:rsid w:val="008A5C18"/>
    <w:rsid w:val="008A6AA7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0F7"/>
    <w:rsid w:val="009326F9"/>
    <w:rsid w:val="009330D6"/>
    <w:rsid w:val="00933B18"/>
    <w:rsid w:val="009348D8"/>
    <w:rsid w:val="00936541"/>
    <w:rsid w:val="00937339"/>
    <w:rsid w:val="0094036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5C97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6F18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1A3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245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427AC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120F"/>
    <w:rsid w:val="00B722F1"/>
    <w:rsid w:val="00B73BCE"/>
    <w:rsid w:val="00B75B8B"/>
    <w:rsid w:val="00B7683B"/>
    <w:rsid w:val="00B77F75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1085"/>
    <w:rsid w:val="00C02076"/>
    <w:rsid w:val="00C0219A"/>
    <w:rsid w:val="00C04174"/>
    <w:rsid w:val="00C07830"/>
    <w:rsid w:val="00C11649"/>
    <w:rsid w:val="00C124B8"/>
    <w:rsid w:val="00C12A73"/>
    <w:rsid w:val="00C13285"/>
    <w:rsid w:val="00C2089A"/>
    <w:rsid w:val="00C2187A"/>
    <w:rsid w:val="00C22102"/>
    <w:rsid w:val="00C23A9E"/>
    <w:rsid w:val="00C32217"/>
    <w:rsid w:val="00C32DCA"/>
    <w:rsid w:val="00C33DD1"/>
    <w:rsid w:val="00C42A68"/>
    <w:rsid w:val="00C43935"/>
    <w:rsid w:val="00C44E21"/>
    <w:rsid w:val="00C51E16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0B60"/>
    <w:rsid w:val="00CA1D4D"/>
    <w:rsid w:val="00CB1A6C"/>
    <w:rsid w:val="00CB28CE"/>
    <w:rsid w:val="00CB4256"/>
    <w:rsid w:val="00CB4FB8"/>
    <w:rsid w:val="00CB71EE"/>
    <w:rsid w:val="00CB7A82"/>
    <w:rsid w:val="00CC116B"/>
    <w:rsid w:val="00CD061D"/>
    <w:rsid w:val="00CD0E4E"/>
    <w:rsid w:val="00CD29A4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67F5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87549"/>
    <w:rsid w:val="00D948B4"/>
    <w:rsid w:val="00D96460"/>
    <w:rsid w:val="00DA1A7A"/>
    <w:rsid w:val="00DA4905"/>
    <w:rsid w:val="00DA57D4"/>
    <w:rsid w:val="00DB0DCD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184C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18A"/>
    <w:rsid w:val="00EA1D18"/>
    <w:rsid w:val="00EA276C"/>
    <w:rsid w:val="00EA3048"/>
    <w:rsid w:val="00EA41AD"/>
    <w:rsid w:val="00EB03B5"/>
    <w:rsid w:val="00EB064A"/>
    <w:rsid w:val="00EB0EC1"/>
    <w:rsid w:val="00EB1AA7"/>
    <w:rsid w:val="00EB303D"/>
    <w:rsid w:val="00EB3983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39D2"/>
    <w:rsid w:val="00F55BC9"/>
    <w:rsid w:val="00F5683A"/>
    <w:rsid w:val="00F571C6"/>
    <w:rsid w:val="00F57D71"/>
    <w:rsid w:val="00F60CC9"/>
    <w:rsid w:val="00F61625"/>
    <w:rsid w:val="00F618D4"/>
    <w:rsid w:val="00F621FE"/>
    <w:rsid w:val="00F6568B"/>
    <w:rsid w:val="00F66854"/>
    <w:rsid w:val="00F66A31"/>
    <w:rsid w:val="00F706AB"/>
    <w:rsid w:val="00F729E4"/>
    <w:rsid w:val="00F73AA2"/>
    <w:rsid w:val="00F73E63"/>
    <w:rsid w:val="00F76598"/>
    <w:rsid w:val="00F816BE"/>
    <w:rsid w:val="00F818E9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2834"/>
    <w:rsid w:val="00FA5B7F"/>
    <w:rsid w:val="00FA5FE7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B7B-5A2B-41B2-9755-5CD4694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7A3C-0271-4074-BDD0-EC05D14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63</Pages>
  <Words>14464</Words>
  <Characters>82447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Ирина Осокина</cp:lastModifiedBy>
  <cp:revision>89</cp:revision>
  <cp:lastPrinted>2022-12-21T08:50:00Z</cp:lastPrinted>
  <dcterms:created xsi:type="dcterms:W3CDTF">2021-12-06T06:59:00Z</dcterms:created>
  <dcterms:modified xsi:type="dcterms:W3CDTF">2022-12-26T09:37:00Z</dcterms:modified>
</cp:coreProperties>
</file>