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B247F" w:rsidRDefault="00AB247F" w:rsidP="00AB247F">
      <w:pPr>
        <w:ind w:left="-1560" w:right="-567"/>
        <w:jc w:val="center"/>
        <w:rPr>
          <w:b/>
        </w:rPr>
      </w:pPr>
    </w:p>
    <w:p w:rsidR="00AB247F" w:rsidRDefault="00AB247F" w:rsidP="00AB247F">
      <w:pPr>
        <w:ind w:left="-1560" w:right="-567"/>
        <w:jc w:val="center"/>
        <w:outlineLvl w:val="0"/>
      </w:pPr>
      <w:r>
        <w:t xml:space="preserve">  ________________ № ___________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Об утверждении муниципальной программы 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«Здравоохранение»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Default="00AB247F" w:rsidP="00AB247F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7" w:history="1">
        <w:r>
          <w:rPr>
            <w:rStyle w:val="a9"/>
            <w:rFonts w:cs="Times New Roman"/>
          </w:rPr>
          <w:t>кодексом</w:t>
        </w:r>
      </w:hyperlink>
      <w:r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области,</w:t>
      </w:r>
      <w:r>
        <w:rPr>
          <w:kern w:val="16"/>
        </w:rPr>
        <w:t xml:space="preserve"> Администрация </w:t>
      </w:r>
      <w:r>
        <w:t>городского округа Электросталь Московской области ПОСТАНОВЛЯЕТ:</w:t>
      </w:r>
    </w:p>
    <w:p w:rsidR="00AB247F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 Утвердить муниципальную программу городского округа Электросталь Московской области «Здравоохранение» (прилагается).</w:t>
      </w:r>
    </w:p>
    <w:p w:rsidR="00AB247F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>
          <w:rPr>
            <w:rStyle w:val="a9"/>
          </w:rPr>
          <w:t>www.electrostal.ru</w:t>
        </w:r>
      </w:hyperlink>
      <w:r>
        <w:t>.</w:t>
      </w:r>
    </w:p>
    <w:p w:rsidR="00AB247F" w:rsidRDefault="00AB247F" w:rsidP="00AB247F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3. Настоящее постановление вступает в силу с 01.01.2020 и применяется к правоотношениям, возникающим в связи </w:t>
      </w:r>
      <w:r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AB247F" w:rsidRDefault="00AB247F" w:rsidP="00AB247F">
      <w:pPr>
        <w:ind w:firstLine="624"/>
        <w:jc w:val="both"/>
        <w:rPr>
          <w:rFonts w:cs="Times New Roman"/>
        </w:rPr>
      </w:pPr>
      <w:r>
        <w:rPr>
          <w:rFonts w:cs="Times New Roman"/>
        </w:rPr>
        <w:t>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B247F" w:rsidRDefault="00AB247F" w:rsidP="00AB247F">
      <w:pPr>
        <w:ind w:firstLine="624"/>
        <w:jc w:val="both"/>
      </w:pPr>
      <w:r>
        <w:rPr>
          <w:rFonts w:cs="Times New Roman"/>
        </w:rPr>
        <w:t xml:space="preserve">5. Контроль за выполнением настоящего постановления возложить на заместителя Главы Администрации городского округа Электросталь Московской </w:t>
      </w:r>
      <w:proofErr w:type="gramStart"/>
      <w:r>
        <w:rPr>
          <w:rFonts w:cs="Times New Roman"/>
        </w:rPr>
        <w:t>области  Т.Л.</w:t>
      </w:r>
      <w:proofErr w:type="gramEnd"/>
      <w:r>
        <w:rPr>
          <w:rFonts w:cs="Times New Roman"/>
        </w:rPr>
        <w:t xml:space="preserve"> Пак.</w:t>
      </w:r>
    </w:p>
    <w:p w:rsidR="00AB247F" w:rsidRDefault="00AB247F" w:rsidP="00AB247F">
      <w:pPr>
        <w:jc w:val="both"/>
        <w:rPr>
          <w:rFonts w:cs="Times New Roman"/>
        </w:rPr>
      </w:pPr>
    </w:p>
    <w:p w:rsidR="00AB247F" w:rsidRDefault="00AB247F" w:rsidP="00AB247F">
      <w:pPr>
        <w:jc w:val="both"/>
        <w:rPr>
          <w:rFonts w:cs="Times New Roman"/>
        </w:rPr>
      </w:pPr>
    </w:p>
    <w:p w:rsidR="00AB247F" w:rsidRDefault="00AB247F" w:rsidP="00AB247F">
      <w:pPr>
        <w:tabs>
          <w:tab w:val="center" w:pos="4677"/>
        </w:tabs>
        <w:jc w:val="both"/>
      </w:pPr>
      <w:r>
        <w:t>Глава городского округа</w:t>
      </w:r>
      <w:r>
        <w:tab/>
      </w:r>
      <w:r>
        <w:tab/>
      </w:r>
      <w:r>
        <w:tab/>
        <w:t xml:space="preserve">       </w:t>
      </w:r>
      <w:r w:rsidR="00FC0BE1">
        <w:t xml:space="preserve">                      </w:t>
      </w:r>
      <w:r>
        <w:t xml:space="preserve">     В.Я. Пекарев</w:t>
      </w:r>
    </w:p>
    <w:p w:rsidR="00AB247F" w:rsidRDefault="00AB247F" w:rsidP="00AB247F">
      <w:pPr>
        <w:ind w:left="-142"/>
        <w:jc w:val="both"/>
      </w:pPr>
    </w:p>
    <w:p w:rsidR="00AB247F" w:rsidRDefault="00AB247F" w:rsidP="00AB247F">
      <w:pPr>
        <w:ind w:left="-142"/>
        <w:jc w:val="both"/>
      </w:pPr>
    </w:p>
    <w:p w:rsidR="00A976F5" w:rsidRDefault="00A976F5" w:rsidP="00AB247F">
      <w:pPr>
        <w:tabs>
          <w:tab w:val="left" w:pos="851"/>
        </w:tabs>
        <w:rPr>
          <w:rFonts w:cs="Times New Roman"/>
        </w:rPr>
      </w:pPr>
    </w:p>
    <w:p w:rsidR="00A976F5" w:rsidRDefault="00A976F5" w:rsidP="00AB247F">
      <w:pPr>
        <w:tabs>
          <w:tab w:val="left" w:pos="851"/>
        </w:tabs>
        <w:rPr>
          <w:rFonts w:cs="Times New Roman"/>
        </w:rPr>
      </w:pPr>
    </w:p>
    <w:p w:rsidR="00FC0BE1" w:rsidRDefault="00AB247F" w:rsidP="00AB247F">
      <w:pPr>
        <w:tabs>
          <w:tab w:val="left" w:pos="851"/>
        </w:tabs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                                                                                    </w:t>
      </w:r>
    </w:p>
    <w:p w:rsidR="00AA0E7D" w:rsidRPr="00AA0E7D" w:rsidRDefault="00FC0BE1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</w:t>
      </w:r>
      <w:r w:rsidR="00AB247F">
        <w:rPr>
          <w:rFonts w:cs="Times New Roman"/>
        </w:rPr>
        <w:t xml:space="preserve"> 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1134"/>
        <w:gridCol w:w="1209"/>
        <w:gridCol w:w="1201"/>
        <w:gridCol w:w="1275"/>
        <w:gridCol w:w="1276"/>
        <w:gridCol w:w="1276"/>
      </w:tblGrid>
      <w:tr w:rsidR="00920E42" w:rsidRPr="00163DE6" w:rsidTr="00622A96">
        <w:tc>
          <w:tcPr>
            <w:tcW w:w="2978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Т.Л. Пак</w:t>
            </w:r>
          </w:p>
        </w:tc>
      </w:tr>
      <w:tr w:rsidR="00920E42" w:rsidRPr="00163DE6" w:rsidTr="00622A96">
        <w:tc>
          <w:tcPr>
            <w:tcW w:w="2978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622A96">
        <w:tc>
          <w:tcPr>
            <w:tcW w:w="2978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gridSpan w:val="6"/>
          </w:tcPr>
          <w:p w:rsidR="00920E42" w:rsidRPr="00163DE6" w:rsidRDefault="006904AA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населения, обеспечение доступности и улучшение качества оказания медицинской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населению городского округа Электросталь Московской области</w:t>
            </w:r>
          </w:p>
        </w:tc>
      </w:tr>
      <w:tr w:rsidR="00920E42" w:rsidRPr="00163DE6" w:rsidTr="00622A96">
        <w:trPr>
          <w:trHeight w:val="1305"/>
        </w:trPr>
        <w:tc>
          <w:tcPr>
            <w:tcW w:w="2978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371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  <w:r w:rsidR="00920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622A96">
        <w:tc>
          <w:tcPr>
            <w:tcW w:w="2978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371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622A96">
        <w:tc>
          <w:tcPr>
            <w:tcW w:w="2978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622A96">
        <w:tc>
          <w:tcPr>
            <w:tcW w:w="2978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2400,0</w:t>
            </w:r>
          </w:p>
        </w:tc>
        <w:tc>
          <w:tcPr>
            <w:tcW w:w="1209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01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5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6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6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</w:tr>
      <w:tr w:rsidR="00920E42" w:rsidRPr="00163DE6" w:rsidTr="00622A96">
        <w:tc>
          <w:tcPr>
            <w:tcW w:w="2978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09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01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622A96">
        <w:tc>
          <w:tcPr>
            <w:tcW w:w="2978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09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01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622A96">
        <w:tc>
          <w:tcPr>
            <w:tcW w:w="2978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2400,0</w:t>
            </w:r>
          </w:p>
        </w:tc>
        <w:tc>
          <w:tcPr>
            <w:tcW w:w="1209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01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5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6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6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622A96" w:rsidRDefault="00622A9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920E42" w:rsidRPr="00AD31AC" w:rsidRDefault="00920E42" w:rsidP="00273CA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lastRenderedPageBreak/>
        <w:t>2. О</w:t>
      </w:r>
      <w:r w:rsidR="00A53BF4" w:rsidRPr="00AD31AC">
        <w:rPr>
          <w:rFonts w:cs="Times New Roman"/>
        </w:rPr>
        <w:t>бщая характеристика сферы реали</w:t>
      </w:r>
      <w:r w:rsidRPr="00AD31AC">
        <w:rPr>
          <w:rFonts w:cs="Times New Roman"/>
        </w:rPr>
        <w:t>зации муниципальной программы</w:t>
      </w:r>
    </w:p>
    <w:p w:rsidR="00920E42" w:rsidRPr="00AD31AC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6904AA" w:rsidRPr="00AD31AC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 w:rsidR="00622A96" w:rsidRPr="00AD31AC">
        <w:rPr>
          <w:rFonts w:ascii="Times New Roman" w:hAnsi="Times New Roman" w:cs="Times New Roman"/>
          <w:sz w:val="24"/>
          <w:szCs w:val="24"/>
        </w:rPr>
        <w:t>программы является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организация доступной и качественной медиц</w:t>
      </w:r>
      <w:r w:rsidRPr="00AD31AC">
        <w:rPr>
          <w:rFonts w:ascii="Times New Roman" w:hAnsi="Times New Roman" w:cs="Times New Roman"/>
          <w:sz w:val="24"/>
          <w:szCs w:val="24"/>
        </w:rPr>
        <w:t>инской помощи жителям городского округа.</w:t>
      </w:r>
    </w:p>
    <w:p w:rsidR="006904AA" w:rsidRPr="00AD31AC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D31AC">
        <w:rPr>
          <w:rFonts w:ascii="Times New Roman" w:hAnsi="Times New Roman" w:cs="Times New Roman"/>
          <w:sz w:val="24"/>
          <w:szCs w:val="24"/>
        </w:rPr>
        <w:t>является реализа</w:t>
      </w:r>
      <w:r w:rsidR="00980B95" w:rsidRPr="00AD31AC">
        <w:rPr>
          <w:rFonts w:ascii="Times New Roman" w:hAnsi="Times New Roman" w:cs="Times New Roman"/>
          <w:sz w:val="24"/>
          <w:szCs w:val="24"/>
        </w:rPr>
        <w:t>ция мер</w:t>
      </w:r>
      <w:r w:rsidRPr="00AD31AC">
        <w:rPr>
          <w:rFonts w:ascii="Times New Roman" w:hAnsi="Times New Roman" w:cs="Times New Roman"/>
          <w:sz w:val="24"/>
          <w:szCs w:val="24"/>
        </w:rPr>
        <w:t>, направленных н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а снижение смертности населения, </w:t>
      </w:r>
      <w:r w:rsidRPr="00AD31AC">
        <w:rPr>
          <w:rFonts w:ascii="Times New Roman" w:hAnsi="Times New Roman" w:cs="Times New Roman"/>
          <w:sz w:val="24"/>
          <w:szCs w:val="24"/>
        </w:rPr>
        <w:t>повышение рождаемости и увеличение продолжительности жизни.</w:t>
      </w:r>
    </w:p>
    <w:p w:rsidR="00970B12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Целями муниципальной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программы являются улучшение состояния здоровья населения, обеспечение доступности и улучшение качества оказания медицинской помощ</w:t>
      </w:r>
      <w:r w:rsidRPr="00AD31AC">
        <w:rPr>
          <w:rFonts w:ascii="Times New Roman" w:hAnsi="Times New Roman" w:cs="Times New Roman"/>
          <w:sz w:val="24"/>
          <w:szCs w:val="24"/>
        </w:rPr>
        <w:t>и жителям городского округа.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зни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за</w:t>
      </w:r>
      <w:r w:rsidRPr="00AD31AC">
        <w:rPr>
          <w:rFonts w:ascii="Times New Roman" w:hAnsi="Times New Roman" w:cs="Times New Roman"/>
          <w:sz w:val="24"/>
          <w:szCs w:val="24"/>
        </w:rPr>
        <w:t xml:space="preserve"> счет формирования здорового образа жизни и профилактики заболеваний;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</w:t>
      </w:r>
      <w:r w:rsidR="00980B95" w:rsidRPr="00AD31AC">
        <w:rPr>
          <w:rFonts w:ascii="Times New Roman" w:hAnsi="Times New Roman" w:cs="Times New Roman"/>
          <w:sz w:val="24"/>
          <w:szCs w:val="24"/>
        </w:rPr>
        <w:t>ощи</w:t>
      </w:r>
      <w:r w:rsidRPr="00AD31AC">
        <w:rPr>
          <w:rFonts w:ascii="Times New Roman" w:hAnsi="Times New Roman" w:cs="Times New Roman"/>
          <w:sz w:val="24"/>
          <w:szCs w:val="24"/>
        </w:rPr>
        <w:t>;</w:t>
      </w:r>
    </w:p>
    <w:p w:rsidR="00520DCB" w:rsidRPr="00AD31AC" w:rsidRDefault="00520DCB" w:rsidP="00970B12">
      <w:pPr>
        <w:tabs>
          <w:tab w:val="left" w:pos="851"/>
        </w:tabs>
        <w:rPr>
          <w:rFonts w:cs="Times New Roman"/>
        </w:rPr>
      </w:pPr>
    </w:p>
    <w:p w:rsidR="00920E42" w:rsidRPr="00AD31AC" w:rsidRDefault="00920E42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3. П</w:t>
      </w:r>
      <w:r w:rsidR="00A53BF4" w:rsidRPr="00AD31AC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273CA4" w:rsidRDefault="00A53BF4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20E42" w:rsidRPr="00AD31AC" w:rsidRDefault="00920E42" w:rsidP="00970B12">
      <w:pPr>
        <w:tabs>
          <w:tab w:val="left" w:pos="851"/>
        </w:tabs>
        <w:jc w:val="both"/>
        <w:rPr>
          <w:rFonts w:cs="Times New Roman"/>
          <w:i/>
        </w:rPr>
      </w:pPr>
    </w:p>
    <w:p w:rsidR="0040180E" w:rsidRDefault="00920E42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="00FA4477"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4477"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2</w:t>
      </w:r>
      <w:r w:rsidR="00FA4477" w:rsidRPr="00AD31AC">
        <w:rPr>
          <w:rFonts w:ascii="Times New Roman" w:hAnsi="Times New Roman" w:cs="Times New Roman"/>
          <w:sz w:val="24"/>
          <w:szCs w:val="24"/>
        </w:rPr>
        <w:t>) завершение формирования сети медицинских организаций первичного звена здравоохранения;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3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4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охвата всех граждан профилактическими медицинскими осмо</w:t>
      </w:r>
      <w:r w:rsidR="00EC37D7"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20E42" w:rsidRPr="00AD31AC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477" w:rsidRPr="00AD31AC">
        <w:rPr>
          <w:rFonts w:ascii="Times New Roman" w:hAnsi="Times New Roman" w:cs="Times New Roman"/>
          <w:sz w:val="24"/>
          <w:szCs w:val="24"/>
        </w:rPr>
        <w:t>Реализ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ация мероприятий муниципальной программы позволит </w:t>
      </w:r>
      <w:r w:rsidR="00FA4477" w:rsidRPr="00AD31AC"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среди жителей городского округа </w:t>
      </w:r>
      <w:r w:rsidR="00FA4477" w:rsidRPr="00AD31AC">
        <w:rPr>
          <w:rFonts w:ascii="Times New Roman" w:hAnsi="Times New Roman" w:cs="Times New Roman"/>
          <w:sz w:val="24"/>
          <w:szCs w:val="24"/>
        </w:rPr>
        <w:t>долю посещений с профилактическими и иными целями</w:t>
      </w:r>
      <w:r w:rsidR="00C91278" w:rsidRPr="00AD31AC">
        <w:rPr>
          <w:rFonts w:ascii="Times New Roman" w:hAnsi="Times New Roman" w:cs="Times New Roman"/>
          <w:sz w:val="24"/>
          <w:szCs w:val="24"/>
        </w:rPr>
        <w:t>.</w:t>
      </w:r>
      <w:r w:rsidR="00920E42"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0DCB" w:rsidRPr="00273CA4" w:rsidRDefault="0040180E" w:rsidP="0040180E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732175" w:rsidRPr="00AD31AC">
        <w:rPr>
          <w:rFonts w:cs="Times New Roman"/>
        </w:rPr>
        <w:t>При недостаточно</w:t>
      </w:r>
      <w:r w:rsidR="00C91278" w:rsidRPr="00AD31AC">
        <w:rPr>
          <w:rFonts w:cs="Times New Roman"/>
        </w:rPr>
        <w:t>м финансировании муниципальной</w:t>
      </w:r>
      <w:r w:rsidR="00732175" w:rsidRPr="00AD31AC">
        <w:rPr>
          <w:rFonts w:cs="Times New Roman"/>
        </w:rPr>
        <w:t xml:space="preserve"> программы </w:t>
      </w:r>
      <w:r w:rsidR="00C91278" w:rsidRPr="00AD31AC">
        <w:rPr>
          <w:rFonts w:cs="Times New Roman"/>
        </w:rPr>
        <w:t xml:space="preserve">возникает </w:t>
      </w:r>
      <w:r w:rsidR="00732175" w:rsidRPr="00AD31AC">
        <w:rPr>
          <w:rFonts w:cs="Times New Roman"/>
        </w:rPr>
        <w:t>невозможность достижения намеченных показателей</w:t>
      </w:r>
      <w:r w:rsidR="00C91278" w:rsidRPr="00AD31AC">
        <w:rPr>
          <w:rFonts w:cs="Times New Roman"/>
        </w:rPr>
        <w:t>, что приведет к снижению</w:t>
      </w:r>
      <w:r w:rsidR="00732175" w:rsidRPr="00AD31AC">
        <w:rPr>
          <w:rFonts w:cs="Times New Roman"/>
        </w:rPr>
        <w:t xml:space="preserve"> </w:t>
      </w:r>
      <w:r w:rsidR="00C91278" w:rsidRPr="00AD31AC">
        <w:rPr>
          <w:rFonts w:cs="Times New Roman"/>
        </w:rPr>
        <w:t xml:space="preserve">качества жизни и ухудшению </w:t>
      </w:r>
      <w:r w:rsidR="00732175" w:rsidRPr="00AD31AC">
        <w:rPr>
          <w:rFonts w:cs="Times New Roman"/>
        </w:rPr>
        <w:t>демогр</w:t>
      </w:r>
      <w:r w:rsidR="00C91278" w:rsidRPr="00AD31AC">
        <w:rPr>
          <w:rFonts w:cs="Times New Roman"/>
        </w:rPr>
        <w:t>афических показателей в городском округе.</w:t>
      </w:r>
      <w:r w:rsidR="00732175" w:rsidRPr="00AD31AC">
        <w:rPr>
          <w:rFonts w:cs="Times New Roman"/>
        </w:rPr>
        <w:t xml:space="preserve"> Комп</w:t>
      </w:r>
      <w:r w:rsidR="00C91278" w:rsidRPr="00AD31AC">
        <w:rPr>
          <w:rFonts w:cs="Times New Roman"/>
        </w:rPr>
        <w:t>лекс мероприятий муниципальной</w:t>
      </w:r>
      <w:r w:rsidR="00732175" w:rsidRPr="00AD31AC">
        <w:rPr>
          <w:rFonts w:cs="Times New Roman"/>
        </w:rPr>
        <w:t xml:space="preserve"> программы позволит улучшить с</w:t>
      </w:r>
      <w:r w:rsidR="00C91278" w:rsidRPr="00AD31AC">
        <w:rPr>
          <w:rFonts w:cs="Times New Roman"/>
        </w:rPr>
        <w:t>остояние здоровья жителей городского округа</w:t>
      </w:r>
      <w:r w:rsidR="00732175" w:rsidRPr="00AD31AC">
        <w:rPr>
          <w:rFonts w:cs="Times New Roman"/>
        </w:rPr>
        <w:t>, повысить доступность и улучшить качество оказания медицинской помо</w:t>
      </w:r>
      <w:r w:rsidR="00C91278" w:rsidRPr="00AD31AC">
        <w:rPr>
          <w:rFonts w:cs="Times New Roman"/>
        </w:rPr>
        <w:t>щи.</w:t>
      </w:r>
    </w:p>
    <w:p w:rsidR="00520DCB" w:rsidRPr="00AD31AC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AD31AC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4. П</w:t>
      </w:r>
      <w:r w:rsidR="00A53BF4" w:rsidRPr="00AD31AC">
        <w:rPr>
          <w:rFonts w:cs="Times New Roman"/>
        </w:rPr>
        <w:t xml:space="preserve">еречень подпрограмм и их </w:t>
      </w:r>
      <w:r w:rsidRPr="00AD31AC">
        <w:rPr>
          <w:rFonts w:cs="Times New Roman"/>
        </w:rPr>
        <w:t>краткое описание</w:t>
      </w:r>
    </w:p>
    <w:p w:rsidR="00920E42" w:rsidRPr="00AD31AC" w:rsidRDefault="00273CA4" w:rsidP="00273CA4">
      <w:pPr>
        <w:tabs>
          <w:tab w:val="left" w:pos="851"/>
          <w:tab w:val="left" w:pos="1365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40180E" w:rsidRDefault="009E477A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097460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(далее - Подпрограмма 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732175" w:rsidRPr="0040180E" w:rsidRDefault="0040180E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Подпрограмма I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системы медицинской профилактики неинфекционных заболеваний и формирование здорового образа жизни у 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жителей городского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округа, первичной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медик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о-санитарной медицинской помощи. Направлена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на осуществление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мер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>арем профилактических прививок.</w:t>
      </w:r>
    </w:p>
    <w:p w:rsidR="00273CA4" w:rsidRDefault="00273CA4" w:rsidP="00273CA4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1E0621" w:rsidRDefault="001E0621" w:rsidP="00273CA4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40180E" w:rsidRPr="00AD31AC" w:rsidRDefault="0021279C" w:rsidP="00EC37D7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Подпрограмма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V</w:t>
      </w:r>
      <w:r w:rsidR="00622A96"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«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V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C355B" w:rsidRPr="00AD31AC" w:rsidRDefault="00DC355B" w:rsidP="00DC3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</w:t>
      </w:r>
      <w:r w:rsidR="0021279C"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622A96"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="00E655F9" w:rsidRPr="00AD31AC">
        <w:rPr>
          <w:rFonts w:ascii="Times New Roman" w:hAnsi="Times New Roman" w:cs="Times New Roman"/>
          <w:sz w:val="24"/>
          <w:szCs w:val="24"/>
        </w:rPr>
        <w:t>,</w:t>
      </w:r>
      <w:r w:rsidR="00622A96"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="00E655F9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622A96" w:rsidRPr="00AD31AC">
        <w:rPr>
          <w:rFonts w:ascii="Times New Roman" w:hAnsi="Times New Roman" w:cs="Times New Roman"/>
          <w:sz w:val="24"/>
          <w:szCs w:val="24"/>
        </w:rPr>
        <w:t>осуществлени</w:t>
      </w:r>
      <w:r w:rsidR="00622A96">
        <w:rPr>
          <w:rFonts w:ascii="Times New Roman" w:hAnsi="Times New Roman" w:cs="Times New Roman"/>
          <w:sz w:val="24"/>
          <w:szCs w:val="24"/>
        </w:rPr>
        <w:t>я</w:t>
      </w:r>
      <w:r w:rsidR="00622A96" w:rsidRPr="00AD31AC">
        <w:rPr>
          <w:rFonts w:ascii="Times New Roman" w:hAnsi="Times New Roman" w:cs="Times New Roman"/>
          <w:sz w:val="24"/>
          <w:szCs w:val="24"/>
        </w:rPr>
        <w:t xml:space="preserve"> компенсационных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выплат врачам, прибывшим на работу в учреждения здравоох</w:t>
      </w:r>
      <w:r w:rsidR="00E655F9" w:rsidRPr="00AD31AC">
        <w:rPr>
          <w:rFonts w:ascii="Times New Roman" w:hAnsi="Times New Roman" w:cs="Times New Roman"/>
          <w:sz w:val="24"/>
          <w:szCs w:val="24"/>
        </w:rPr>
        <w:t>ранения городского округа.</w:t>
      </w:r>
    </w:p>
    <w:p w:rsidR="00DC355B" w:rsidRPr="00AD31AC" w:rsidRDefault="00DC355B" w:rsidP="00DC3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DCB" w:rsidRPr="00AD31AC" w:rsidRDefault="00520DCB" w:rsidP="0040180E">
      <w:pPr>
        <w:tabs>
          <w:tab w:val="left" w:pos="851"/>
        </w:tabs>
        <w:rPr>
          <w:rFonts w:cs="Times New Roman"/>
        </w:rPr>
      </w:pPr>
    </w:p>
    <w:p w:rsidR="00920E42" w:rsidRPr="009E477A" w:rsidRDefault="00920E4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5. О</w:t>
      </w:r>
      <w:r w:rsidR="00A53BF4" w:rsidRPr="00AD31AC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520DCB" w:rsidRPr="00AD31AC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9E477A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</w:t>
      </w:r>
      <w:r w:rsidR="00E655F9" w:rsidRPr="00AD31AC">
        <w:rPr>
          <w:rFonts w:ascii="Times New Roman" w:hAnsi="Times New Roman" w:cs="Times New Roman"/>
          <w:sz w:val="24"/>
          <w:szCs w:val="24"/>
        </w:rPr>
        <w:t>муниципальную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 w:rsidR="009E477A"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622A96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Непосредственным резуль</w:t>
      </w:r>
      <w:r w:rsidR="00E655F9" w:rsidRPr="00AD31AC">
        <w:rPr>
          <w:rFonts w:ascii="Times New Roman" w:hAnsi="Times New Roman" w:cs="Times New Roman"/>
          <w:sz w:val="24"/>
          <w:szCs w:val="24"/>
        </w:rPr>
        <w:t>татом реализации муниципальной программы является достижение значений запланированных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 соответствующем году. </w:t>
      </w:r>
    </w:p>
    <w:p w:rsidR="00520DCB" w:rsidRPr="009E477A" w:rsidRDefault="00E655F9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жизни, </w:t>
      </w:r>
      <w:r w:rsidR="00622A96" w:rsidRPr="00AD31AC">
        <w:rPr>
          <w:rFonts w:ascii="Times New Roman" w:hAnsi="Times New Roman" w:cs="Times New Roman"/>
          <w:sz w:val="24"/>
          <w:szCs w:val="24"/>
        </w:rPr>
        <w:t>повышение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обеспечивается</w:t>
      </w:r>
      <w:r w:rsidR="00150748" w:rsidRPr="00AD31A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150748" w:rsidRPr="00AD31AC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F37256" w:rsidRPr="00AD31AC">
        <w:rPr>
          <w:rFonts w:ascii="Times New Roman" w:hAnsi="Times New Roman" w:cs="Times New Roman"/>
          <w:sz w:val="24"/>
          <w:szCs w:val="24"/>
        </w:rPr>
        <w:t xml:space="preserve"> прив</w:t>
      </w:r>
      <w:r w:rsidRPr="00AD31AC">
        <w:rPr>
          <w:rFonts w:ascii="Times New Roman" w:hAnsi="Times New Roman" w:cs="Times New Roman"/>
          <w:sz w:val="24"/>
          <w:szCs w:val="24"/>
        </w:rPr>
        <w:t>лечения</w:t>
      </w:r>
      <w:proofErr w:type="gramEnd"/>
      <w:r w:rsidRPr="00AD31AC">
        <w:rPr>
          <w:rFonts w:ascii="Times New Roman" w:hAnsi="Times New Roman" w:cs="Times New Roman"/>
          <w:sz w:val="24"/>
          <w:szCs w:val="24"/>
        </w:rPr>
        <w:t xml:space="preserve"> квали</w:t>
      </w:r>
      <w:r w:rsidR="00F37256" w:rsidRPr="00AD31AC">
        <w:rPr>
          <w:rFonts w:ascii="Times New Roman" w:hAnsi="Times New Roman" w:cs="Times New Roman"/>
          <w:sz w:val="24"/>
          <w:szCs w:val="24"/>
        </w:rPr>
        <w:t>фицированного</w:t>
      </w:r>
      <w:r w:rsidR="00150748" w:rsidRPr="00AD31AC">
        <w:rPr>
          <w:rFonts w:ascii="Times New Roman" w:hAnsi="Times New Roman" w:cs="Times New Roman"/>
          <w:sz w:val="24"/>
          <w:szCs w:val="24"/>
        </w:rPr>
        <w:t xml:space="preserve"> кадрового состава, внед</w:t>
      </w:r>
      <w:r w:rsidRPr="00AD31AC">
        <w:rPr>
          <w:rFonts w:ascii="Times New Roman" w:hAnsi="Times New Roman" w:cs="Times New Roman"/>
          <w:sz w:val="24"/>
          <w:szCs w:val="24"/>
        </w:rPr>
        <w:t>рения информационных технологий.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E477A" w:rsidRPr="00AD31AC" w:rsidRDefault="009E477A" w:rsidP="00920E42">
      <w:pPr>
        <w:tabs>
          <w:tab w:val="left" w:pos="851"/>
        </w:tabs>
        <w:jc w:val="center"/>
        <w:rPr>
          <w:rFonts w:cs="Times New Roman"/>
          <w:b/>
        </w:rPr>
        <w:sectPr w:rsidR="009E477A" w:rsidRPr="00AD31A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E30829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361"/>
        <w:gridCol w:w="1361"/>
        <w:gridCol w:w="1814"/>
        <w:gridCol w:w="1221"/>
        <w:gridCol w:w="1134"/>
        <w:gridCol w:w="1134"/>
        <w:gridCol w:w="1134"/>
        <w:gridCol w:w="1263"/>
        <w:gridCol w:w="1909"/>
      </w:tblGrid>
      <w:tr w:rsidR="00520DCB" w:rsidRPr="0056728D" w:rsidTr="00866D90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361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361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886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90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866D90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520DCB" w:rsidRPr="00025001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909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61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56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866D90">
        <w:tc>
          <w:tcPr>
            <w:tcW w:w="569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EC37D7" w:rsidRPr="0056728D" w:rsidRDefault="00EC37D7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Доля населения, прошедшего диспансеризацию</w:t>
            </w:r>
          </w:p>
        </w:tc>
        <w:tc>
          <w:tcPr>
            <w:tcW w:w="1361" w:type="dxa"/>
          </w:tcPr>
          <w:p w:rsidR="00EC37D7" w:rsidRPr="00025001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Рейтинга-50</w:t>
            </w:r>
          </w:p>
        </w:tc>
        <w:tc>
          <w:tcPr>
            <w:tcW w:w="1361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7A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235DBC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235DBC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235DBC">
              <w:rPr>
                <w:rFonts w:cs="Times New Roman"/>
                <w:szCs w:val="22"/>
              </w:rPr>
              <w:t>100</w:t>
            </w:r>
          </w:p>
        </w:tc>
        <w:tc>
          <w:tcPr>
            <w:tcW w:w="1263" w:type="dxa"/>
          </w:tcPr>
          <w:p w:rsidR="00EC37D7" w:rsidRDefault="00EC37D7" w:rsidP="00EC37D7">
            <w:pPr>
              <w:jc w:val="center"/>
            </w:pPr>
            <w:r w:rsidRPr="00235DBC">
              <w:rPr>
                <w:rFonts w:cs="Times New Roman"/>
                <w:szCs w:val="22"/>
              </w:rPr>
              <w:t>100</w:t>
            </w:r>
          </w:p>
        </w:tc>
        <w:tc>
          <w:tcPr>
            <w:tcW w:w="1909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097460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56" w:type="dxa"/>
            <w:gridSpan w:val="9"/>
          </w:tcPr>
          <w:p w:rsidR="00520DCB" w:rsidRPr="00025001" w:rsidRDefault="00520DCB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D67AF" w:rsidRPr="006D67AF">
              <w:rPr>
                <w:rFonts w:ascii="Times New Roman" w:hAnsi="Times New Roman" w:cs="Times New Roman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866D90">
        <w:tc>
          <w:tcPr>
            <w:tcW w:w="569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EC37D7" w:rsidRPr="0056728D" w:rsidRDefault="00EC37D7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7AF">
              <w:rPr>
                <w:rFonts w:ascii="Times New Roman" w:hAnsi="Times New Roman" w:cs="Times New Roman"/>
                <w:szCs w:val="22"/>
              </w:rPr>
              <w:t>Привлечение участк</w:t>
            </w:r>
            <w:r>
              <w:rPr>
                <w:rFonts w:ascii="Times New Roman" w:hAnsi="Times New Roman" w:cs="Times New Roman"/>
                <w:szCs w:val="22"/>
              </w:rPr>
              <w:t>овых врачей: 1 врач-1 участок</w:t>
            </w:r>
          </w:p>
        </w:tc>
        <w:tc>
          <w:tcPr>
            <w:tcW w:w="1361" w:type="dxa"/>
          </w:tcPr>
          <w:p w:rsidR="00EC37D7" w:rsidRPr="00025001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Рейтинга-50</w:t>
            </w:r>
          </w:p>
        </w:tc>
        <w:tc>
          <w:tcPr>
            <w:tcW w:w="1361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7A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C37D7" w:rsidRPr="00EC37D7" w:rsidRDefault="001E0621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171,40</w:t>
            </w:r>
          </w:p>
        </w:tc>
        <w:tc>
          <w:tcPr>
            <w:tcW w:w="1221" w:type="dxa"/>
          </w:tcPr>
          <w:p w:rsidR="00EC37D7" w:rsidRDefault="00EC37D7" w:rsidP="00EC37D7">
            <w:pPr>
              <w:jc w:val="center"/>
            </w:pPr>
            <w:r w:rsidRPr="00670957">
              <w:rPr>
                <w:rFonts w:cs="Times New Roman"/>
                <w:szCs w:val="22"/>
              </w:rPr>
              <w:t>200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670957">
              <w:rPr>
                <w:rFonts w:cs="Times New Roman"/>
                <w:szCs w:val="22"/>
              </w:rPr>
              <w:t>200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670957">
              <w:rPr>
                <w:rFonts w:cs="Times New Roman"/>
                <w:szCs w:val="22"/>
              </w:rPr>
              <w:t>200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670957">
              <w:rPr>
                <w:rFonts w:cs="Times New Roman"/>
                <w:szCs w:val="22"/>
              </w:rPr>
              <w:t>200</w:t>
            </w:r>
          </w:p>
        </w:tc>
        <w:tc>
          <w:tcPr>
            <w:tcW w:w="1263" w:type="dxa"/>
          </w:tcPr>
          <w:p w:rsidR="00EC37D7" w:rsidRDefault="00EC37D7" w:rsidP="00EC37D7">
            <w:pPr>
              <w:jc w:val="center"/>
            </w:pPr>
            <w:r w:rsidRPr="00670957">
              <w:rPr>
                <w:rFonts w:cs="Times New Roman"/>
                <w:szCs w:val="22"/>
              </w:rPr>
              <w:t>200</w:t>
            </w:r>
          </w:p>
        </w:tc>
        <w:tc>
          <w:tcPr>
            <w:tcW w:w="1909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</w:tbl>
    <w:p w:rsidR="00EC37D7" w:rsidRDefault="00EC37D7" w:rsidP="00E27A7D">
      <w:pPr>
        <w:spacing w:after="160" w:line="259" w:lineRule="auto"/>
        <w:jc w:val="center"/>
        <w:rPr>
          <w:rFonts w:cs="Times New Roman"/>
        </w:rPr>
      </w:pPr>
    </w:p>
    <w:p w:rsidR="00EC37D7" w:rsidRDefault="00EC37D7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13"/>
        <w:gridCol w:w="1403"/>
        <w:gridCol w:w="6677"/>
        <w:gridCol w:w="2977"/>
      </w:tblGrid>
      <w:tr w:rsidR="00520DCB" w:rsidRPr="00EC37D7" w:rsidTr="00F47B00">
        <w:trPr>
          <w:trHeight w:val="759"/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677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EC37D7" w:rsidTr="00F47B00">
        <w:trPr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6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520DCB" w:rsidRPr="00EC37D7" w:rsidTr="00F47B00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493" w:type="dxa"/>
            <w:gridSpan w:val="3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Подпрог</w:t>
            </w:r>
            <w:r w:rsidR="00150748" w:rsidRPr="00EC37D7">
              <w:rPr>
                <w:rFonts w:ascii="Times New Roman" w:hAnsi="Times New Roman" w:cs="Times New Roman"/>
                <w:szCs w:val="22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EC37D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EC37D7" w:rsidTr="00F47B00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413" w:type="dxa"/>
          </w:tcPr>
          <w:p w:rsidR="00520DCB" w:rsidRPr="00EC37D7" w:rsidRDefault="00C167A5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Доля населения, прошедшего диспансеризацию</w:t>
            </w:r>
          </w:p>
        </w:tc>
        <w:tc>
          <w:tcPr>
            <w:tcW w:w="1403" w:type="dxa"/>
          </w:tcPr>
          <w:p w:rsidR="00520DCB" w:rsidRPr="00EC37D7" w:rsidRDefault="00C167A5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677" w:type="dxa"/>
          </w:tcPr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Показатель Рейтинга-50, формируется в соответствии с методикой, утверждаемой Министерством здравоохранения Московской области для расчета данного показателя.</w:t>
            </w:r>
          </w:p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Показатель определяется как отношение численности населения, прошедшего диспансеризацию в отчетном периоде, к общему числу граждан, подлежащих диспансеризации в текущем году, выраженное в процентах.</w:t>
            </w:r>
          </w:p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Показатель считается с начала отчетного года нарастающим итогом. Показатель считается выполненным, если его значение составило: за 3 мес. – 25%, за 6 мес. – 50%, за 9 мес. – 75%, за год – 100%.</w:t>
            </w:r>
          </w:p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Рассчитывается по формуле:</w:t>
            </w:r>
          </w:p>
          <w:p w:rsidR="00EC37D7" w:rsidRPr="00EC37D7" w:rsidRDefault="00EC37D7" w:rsidP="00EC37D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Ди=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Дп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Дпд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*100%</m:t>
              </m:r>
            </m:oMath>
            <w:r w:rsidRPr="00EC37D7">
              <w:rPr>
                <w:rFonts w:cs="Times New Roman"/>
                <w:sz w:val="22"/>
                <w:szCs w:val="22"/>
              </w:rPr>
              <w:t>, где:</w:t>
            </w:r>
          </w:p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EC37D7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EC37D7">
              <w:rPr>
                <w:rFonts w:cs="Times New Roman"/>
                <w:sz w:val="22"/>
                <w:szCs w:val="22"/>
              </w:rPr>
              <w:t xml:space="preserve"> – исполнение диспансеризации определенных групп взрослого населения;</w:t>
            </w:r>
          </w:p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EC37D7">
              <w:rPr>
                <w:rFonts w:cs="Times New Roman"/>
                <w:sz w:val="22"/>
                <w:szCs w:val="22"/>
              </w:rPr>
              <w:t>Дп</w:t>
            </w:r>
            <w:proofErr w:type="spellEnd"/>
            <w:r w:rsidRPr="00EC37D7">
              <w:rPr>
                <w:rFonts w:cs="Times New Roman"/>
                <w:sz w:val="22"/>
                <w:szCs w:val="22"/>
              </w:rPr>
              <w:t xml:space="preserve"> – численность населения, прошедшего диспансеризацию в отчетном периоде, чел.,</w:t>
            </w:r>
          </w:p>
          <w:p w:rsidR="00520DCB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EC37D7">
              <w:rPr>
                <w:rFonts w:cs="Times New Roman"/>
                <w:sz w:val="22"/>
                <w:szCs w:val="22"/>
              </w:rPr>
              <w:t>Дпд</w:t>
            </w:r>
            <w:proofErr w:type="spellEnd"/>
            <w:r w:rsidRPr="00EC37D7">
              <w:rPr>
                <w:rFonts w:cs="Times New Roman"/>
                <w:sz w:val="22"/>
                <w:szCs w:val="22"/>
              </w:rPr>
              <w:t xml:space="preserve"> – общее число граждан, подлежащих диспансеризации в текущем году.</w:t>
            </w:r>
          </w:p>
        </w:tc>
        <w:tc>
          <w:tcPr>
            <w:tcW w:w="2977" w:type="dxa"/>
          </w:tcPr>
          <w:p w:rsidR="00520DCB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Источник данных - форма №131, утверждённая приказом Министерства здравоохранения Российской Федерации от 6 марта 2015 года N 87н; распоряжение Министерства здравоохранения Московской области от 23.12.2016 № 54-р</w:t>
            </w:r>
          </w:p>
        </w:tc>
      </w:tr>
      <w:tr w:rsidR="00520DCB" w:rsidRPr="00EC37D7" w:rsidTr="00F47B00">
        <w:trPr>
          <w:jc w:val="center"/>
        </w:trPr>
        <w:tc>
          <w:tcPr>
            <w:tcW w:w="693" w:type="dxa"/>
          </w:tcPr>
          <w:p w:rsidR="00520DCB" w:rsidRPr="00EC37D7" w:rsidRDefault="00866D90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3</w:t>
            </w:r>
            <w:r w:rsidR="00520DCB" w:rsidRPr="00EC37D7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493" w:type="dxa"/>
            <w:gridSpan w:val="3"/>
          </w:tcPr>
          <w:p w:rsidR="00520DCB" w:rsidRPr="00EC37D7" w:rsidRDefault="00C167A5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520DCB" w:rsidRPr="00EC37D7" w:rsidTr="00F47B00">
        <w:trPr>
          <w:jc w:val="center"/>
        </w:trPr>
        <w:tc>
          <w:tcPr>
            <w:tcW w:w="693" w:type="dxa"/>
          </w:tcPr>
          <w:p w:rsidR="00520DCB" w:rsidRPr="00EC37D7" w:rsidRDefault="00866D90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3</w:t>
            </w:r>
            <w:r w:rsidR="00C167A5" w:rsidRPr="00EC37D7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413" w:type="dxa"/>
          </w:tcPr>
          <w:p w:rsidR="00520DCB" w:rsidRPr="00EC37D7" w:rsidRDefault="00C167A5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 xml:space="preserve">Привлечение участковых врачей: </w:t>
            </w:r>
            <w:r w:rsidRPr="00EC37D7">
              <w:rPr>
                <w:rFonts w:ascii="Times New Roman" w:hAnsi="Times New Roman" w:cs="Times New Roman"/>
                <w:szCs w:val="22"/>
              </w:rPr>
              <w:lastRenderedPageBreak/>
              <w:t>1 врач-1 участок</w:t>
            </w:r>
          </w:p>
        </w:tc>
        <w:tc>
          <w:tcPr>
            <w:tcW w:w="1403" w:type="dxa"/>
          </w:tcPr>
          <w:p w:rsidR="00520DCB" w:rsidRPr="00EC37D7" w:rsidRDefault="00EC37D7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6677" w:type="dxa"/>
          </w:tcPr>
          <w:p w:rsidR="00EC37D7" w:rsidRPr="00EA57F0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A57F0">
              <w:rPr>
                <w:rFonts w:cs="Times New Roman"/>
                <w:sz w:val="22"/>
                <w:szCs w:val="22"/>
              </w:rPr>
              <w:t xml:space="preserve">Показатель Рейтинга-50, формируется в соответствии с методикой, </w:t>
            </w:r>
            <w:r w:rsidRPr="00EA57F0">
              <w:rPr>
                <w:rFonts w:cs="Times New Roman"/>
                <w:sz w:val="22"/>
                <w:szCs w:val="22"/>
              </w:rPr>
              <w:lastRenderedPageBreak/>
              <w:t>утверждаемой Министерством здравоохранения Московской области для расчета данного показателя.</w:t>
            </w:r>
          </w:p>
          <w:p w:rsidR="00EC37D7" w:rsidRPr="00EA57F0" w:rsidRDefault="00EC37D7" w:rsidP="00EC37D7">
            <w:pPr>
              <w:tabs>
                <w:tab w:val="left" w:pos="4086"/>
              </w:tabs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Показатель состоит из двух частей.</w:t>
            </w:r>
            <w:r w:rsidRPr="00EA57F0">
              <w:rPr>
                <w:rFonts w:eastAsia="Batang" w:cs="Times New Roman"/>
                <w:sz w:val="22"/>
                <w:szCs w:val="22"/>
              </w:rPr>
              <w:tab/>
            </w:r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Максимальное значение показателя – 200% и более.</w:t>
            </w:r>
          </w:p>
          <w:p w:rsidR="00520DCB" w:rsidRDefault="00EC37D7" w:rsidP="00EC37D7">
            <w:pPr>
              <w:widowControl w:val="0"/>
              <w:suppressAutoHyphens/>
              <w:rPr>
                <w:rFonts w:eastAsia="Calibri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Рассчитывается как сумма значений показателей «</w:t>
            </w:r>
            <w:r w:rsidRPr="00EA57F0">
              <w:rPr>
                <w:rFonts w:eastAsia="Calibri" w:cs="Times New Roman"/>
                <w:sz w:val="22"/>
                <w:szCs w:val="22"/>
              </w:rPr>
              <w:t>Привлечение участковых врачей»</w:t>
            </w:r>
            <w:r w:rsidRPr="00EA57F0">
              <w:rPr>
                <w:rFonts w:eastAsia="Batang" w:cs="Times New Roman"/>
                <w:sz w:val="22"/>
                <w:szCs w:val="22"/>
              </w:rPr>
              <w:t xml:space="preserve"> и «</w:t>
            </w:r>
            <w:r w:rsidRPr="00EA57F0">
              <w:rPr>
                <w:rFonts w:eastAsia="Calibri" w:cs="Times New Roman"/>
                <w:sz w:val="22"/>
                <w:szCs w:val="22"/>
              </w:rPr>
              <w:t xml:space="preserve">Доля врачей участковых и </w:t>
            </w:r>
            <w:proofErr w:type="gramStart"/>
            <w:r w:rsidRPr="00EA57F0">
              <w:rPr>
                <w:rFonts w:eastAsia="Calibri" w:cs="Times New Roman"/>
                <w:sz w:val="22"/>
                <w:szCs w:val="22"/>
              </w:rPr>
              <w:t>врачей общей практики государственных учреждений здравоохранения</w:t>
            </w:r>
            <w:proofErr w:type="gramEnd"/>
            <w:r w:rsidRPr="00EA57F0">
              <w:rPr>
                <w:rFonts w:eastAsia="Calibri" w:cs="Times New Roman"/>
                <w:sz w:val="22"/>
                <w:szCs w:val="22"/>
              </w:rPr>
              <w:t xml:space="preserve"> обеспеченных жилыми помещениями»</w:t>
            </w:r>
            <w:r>
              <w:rPr>
                <w:rFonts w:eastAsia="Calibri" w:cs="Times New Roman"/>
                <w:sz w:val="22"/>
                <w:szCs w:val="22"/>
              </w:rPr>
              <w:t>.</w:t>
            </w:r>
          </w:p>
          <w:p w:rsidR="00EC37D7" w:rsidRPr="00EA57F0" w:rsidRDefault="00F47B00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1. </w:t>
            </w:r>
            <w:r w:rsidRPr="00EA57F0">
              <w:rPr>
                <w:rFonts w:eastAsia="Batang" w:cs="Times New Roman"/>
                <w:sz w:val="22"/>
                <w:szCs w:val="22"/>
              </w:rPr>
              <w:t>«</w:t>
            </w:r>
            <w:r w:rsidRPr="00EA57F0">
              <w:rPr>
                <w:rFonts w:eastAsia="Calibri" w:cs="Times New Roman"/>
                <w:sz w:val="22"/>
                <w:szCs w:val="22"/>
              </w:rPr>
              <w:t>Привлечение участковых врачей»</w:t>
            </w:r>
            <w:r>
              <w:rPr>
                <w:rFonts w:eastAsia="Calibri" w:cs="Times New Roman"/>
                <w:sz w:val="22"/>
                <w:szCs w:val="22"/>
              </w:rPr>
              <w:t>: о</w:t>
            </w:r>
            <w:r w:rsidR="00EC37D7" w:rsidRPr="00EA57F0">
              <w:rPr>
                <w:rFonts w:eastAsia="Batang" w:cs="Times New Roman"/>
                <w:sz w:val="22"/>
                <w:szCs w:val="22"/>
              </w:rPr>
              <w:t>тражается привлечение участковых врачей, максимальное значение 100% и более.</w:t>
            </w:r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Определяется как отношение количества привлечённых врачей участковых терапевтов, врачей участковых педиатров в государственные учреждения здравоохранения муниципальных образований Московской области к запланированному на текущий год числу врачей участковой службы (в соответствии с «дорожной картой»), рассчитывается по формуле:</w:t>
            </w:r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Batang" w:hAnsi="Cambria Math" w:cs="Times New Roman"/>
                    <w:sz w:val="22"/>
                    <w:szCs w:val="22"/>
                  </w:rPr>
                  <m:t>Пув=</m:t>
                </m:r>
                <m:f>
                  <m:fPr>
                    <m:ctrlPr>
                      <w:rPr>
                        <w:rFonts w:ascii="Cambria Math" w:eastAsia="Batang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Batang" w:hAnsi="Cambria Math" w:cs="Times New Roman"/>
                        <w:sz w:val="22"/>
                        <w:szCs w:val="22"/>
                      </w:rPr>
                      <m:t>Вп</m:t>
                    </m:r>
                  </m:num>
                  <m:den>
                    <m:r>
                      <w:rPr>
                        <w:rFonts w:ascii="Cambria Math" w:eastAsia="Batang" w:hAnsi="Cambria Math" w:cs="Times New Roman"/>
                        <w:sz w:val="22"/>
                        <w:szCs w:val="22"/>
                      </w:rPr>
                      <m:t>Впл</m:t>
                    </m:r>
                  </m:den>
                </m:f>
                <m:r>
                  <w:rPr>
                    <w:rFonts w:ascii="Cambria Math" w:eastAsia="Batang" w:hAnsi="Cambria Math" w:cs="Times New Roman"/>
                    <w:sz w:val="22"/>
                    <w:szCs w:val="22"/>
                  </w:rPr>
                  <m:t>*100%, где:</m:t>
                </m:r>
              </m:oMath>
            </m:oMathPara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Пув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– привлечение участковых врачей,</w:t>
            </w:r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Вп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– привлеченные участковые врачи, чел.,</w:t>
            </w:r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Впл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– запланированное на текущий год число врачей участковой службы (в соответствии с «дорожной картой»).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2. «</w:t>
            </w:r>
            <w:r w:rsidRPr="00EA57F0">
              <w:rPr>
                <w:rFonts w:eastAsia="Calibri" w:cs="Times New Roman"/>
                <w:sz w:val="22"/>
                <w:szCs w:val="22"/>
              </w:rPr>
              <w:t xml:space="preserve">Доля врачей участковых и </w:t>
            </w:r>
            <w:proofErr w:type="gramStart"/>
            <w:r w:rsidRPr="00EA57F0">
              <w:rPr>
                <w:rFonts w:eastAsia="Calibri" w:cs="Times New Roman"/>
                <w:sz w:val="22"/>
                <w:szCs w:val="22"/>
              </w:rPr>
              <w:t>врачей общей практики государственных учреждений здравоохранения</w:t>
            </w:r>
            <w:proofErr w:type="gramEnd"/>
            <w:r w:rsidRPr="00EA57F0">
              <w:rPr>
                <w:rFonts w:eastAsia="Calibri" w:cs="Times New Roman"/>
                <w:sz w:val="22"/>
                <w:szCs w:val="22"/>
              </w:rPr>
              <w:t xml:space="preserve"> обеспеченных жилыми помещениями</w:t>
            </w:r>
            <w:r>
              <w:rPr>
                <w:rFonts w:eastAsia="Calibri" w:cs="Times New Roman"/>
                <w:sz w:val="22"/>
                <w:szCs w:val="22"/>
              </w:rPr>
              <w:t>»:</w:t>
            </w:r>
            <w:r w:rsidRPr="00EA57F0">
              <w:rPr>
                <w:rFonts w:eastAsia="Batang" w:cs="Times New Roman"/>
                <w:sz w:val="22"/>
                <w:szCs w:val="22"/>
              </w:rPr>
              <w:t xml:space="preserve"> </w:t>
            </w:r>
            <w:r>
              <w:rPr>
                <w:rFonts w:eastAsia="Batang" w:cs="Times New Roman"/>
                <w:sz w:val="22"/>
                <w:szCs w:val="22"/>
              </w:rPr>
              <w:t>о</w:t>
            </w:r>
            <w:r w:rsidRPr="00EA57F0">
              <w:rPr>
                <w:rFonts w:eastAsia="Batang" w:cs="Times New Roman"/>
                <w:sz w:val="22"/>
                <w:szCs w:val="22"/>
              </w:rPr>
              <w:t>тражает доля врачей участковых и врачей общей практики государственных учреждений здравоохранения, обеспеченных жилыми помещениями, максимальное значение 100%.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 xml:space="preserve">Определяется как отношение количества врачей участковых терапевтов, врачей участковых педиатров и врачей общей практики, обеспеченных жилыми помещениями за счет средств бюджета муниципального образования или выделенными из муниципального жилого фонда (компенсация аренды жилой площади, социальный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помещения, специализированный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помещения, коммерческий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помещения), к общей </w:t>
            </w:r>
            <w:r w:rsidRPr="00EA57F0">
              <w:rPr>
                <w:rFonts w:eastAsia="Batang" w:cs="Times New Roman"/>
                <w:sz w:val="22"/>
                <w:szCs w:val="22"/>
              </w:rPr>
              <w:lastRenderedPageBreak/>
              <w:t>численности врачей участковых терапевтов, врачей участковых педиатров и врачей общей практики (семейные), нуждающихся в улучшении жилищных условий (состоящие на учете, а также привлеченные из других территорий, нуждающиеся в улучшении жилищных условий) в соответствии с Жилищным кодексом Российской Федерации, а также с законами Московской области, выраженное в процентах.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Показатель считается с начала отчетного года нарастающим итогом. Врачи учитываются как обеспеченные и нуждающиеся однократно на протяжении отчетного периода, независимо от вида поддержки.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 xml:space="preserve">При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отсутсвии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нуждающихся врачей в обеспечении жилыми помещениями, значение определяется как 100%.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Рассчитывается по формуле:</w:t>
            </w:r>
          </w:p>
          <w:p w:rsidR="00F47B00" w:rsidRPr="00EA57F0" w:rsidRDefault="00F47B00" w:rsidP="00F47B00">
            <w:pPr>
              <w:contextualSpacing/>
              <w:jc w:val="center"/>
              <w:rPr>
                <w:rFonts w:eastAsia="Batang" w:cs="Times New Roman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Batang" w:hAnsi="Cambria Math" w:cs="Times New Roman"/>
                    <w:sz w:val="22"/>
                    <w:szCs w:val="22"/>
                  </w:rPr>
                  <m:t>Доу=</m:t>
                </m:r>
                <m:f>
                  <m:fPr>
                    <m:ctrlPr>
                      <w:rPr>
                        <w:rFonts w:ascii="Cambria Math" w:eastAsia="Batang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Batang" w:hAnsi="Cambria Math" w:cs="Times New Roman"/>
                        <w:sz w:val="22"/>
                        <w:szCs w:val="22"/>
                      </w:rPr>
                      <m:t>Доб</m:t>
                    </m:r>
                  </m:num>
                  <m:den>
                    <m:r>
                      <w:rPr>
                        <w:rFonts w:ascii="Cambria Math" w:eastAsia="Batang" w:hAnsi="Cambria Math" w:cs="Times New Roman"/>
                        <w:sz w:val="22"/>
                        <w:szCs w:val="22"/>
                      </w:rPr>
                      <m:t>Дн</m:t>
                    </m:r>
                  </m:den>
                </m:f>
                <m:r>
                  <w:rPr>
                    <w:rFonts w:ascii="Cambria Math" w:eastAsia="Batang" w:hAnsi="Cambria Math" w:cs="Times New Roman"/>
                    <w:sz w:val="22"/>
                    <w:szCs w:val="22"/>
                  </w:rPr>
                  <m:t>*100%, где:</m:t>
                </m:r>
              </m:oMath>
            </m:oMathPara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 xml:space="preserve">Доу – доля врачей участковых и врачей общей </w:t>
            </w:r>
            <w:proofErr w:type="gramStart"/>
            <w:r w:rsidRPr="00EA57F0">
              <w:rPr>
                <w:rFonts w:eastAsia="Batang" w:cs="Times New Roman"/>
                <w:sz w:val="22"/>
                <w:szCs w:val="22"/>
              </w:rPr>
              <w:t>практики  государственных</w:t>
            </w:r>
            <w:proofErr w:type="gramEnd"/>
            <w:r w:rsidRPr="00EA57F0">
              <w:rPr>
                <w:rFonts w:eastAsia="Batang" w:cs="Times New Roman"/>
                <w:sz w:val="22"/>
                <w:szCs w:val="22"/>
              </w:rPr>
              <w:t xml:space="preserve"> учреждений здравоохранения, обеспеченных жилыми помещениями, процент,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Доб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– количество врачей участковых и врачей общей практики, обеспеченных жилыми помещениями (компенсация аренды жилой площади, социальный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помещения, специализированный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помещения, коммерческий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помещения), чел.,</w:t>
            </w:r>
          </w:p>
          <w:p w:rsidR="00F47B00" w:rsidRPr="00F47B0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Дн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– количество врачей участковых и врачей общей практики, нуждающихся в улучшении жилищных условий (состоящие на учете, а также привлеченные из других территорий, нуждающиеся в улучшении жилищных условий), чел.</w:t>
            </w:r>
          </w:p>
        </w:tc>
        <w:tc>
          <w:tcPr>
            <w:tcW w:w="2977" w:type="dxa"/>
          </w:tcPr>
          <w:p w:rsidR="00520DCB" w:rsidRPr="00EC37D7" w:rsidRDefault="00F47B00" w:rsidP="00F47B00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lastRenderedPageBreak/>
              <w:t xml:space="preserve">Источник информации – </w:t>
            </w:r>
            <w:r w:rsidRPr="00EA57F0">
              <w:rPr>
                <w:rFonts w:eastAsia="Batang" w:cs="Times New Roman"/>
                <w:sz w:val="22"/>
                <w:szCs w:val="22"/>
              </w:rPr>
              <w:lastRenderedPageBreak/>
              <w:t>отчет администрации муниципального образования и согласование с государственными учреждениями здравоохранения Московской области.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520D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E96AA4" w:rsidTr="009A6844">
        <w:tc>
          <w:tcPr>
            <w:tcW w:w="2977" w:type="dxa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E96AA4" w:rsidRDefault="00E96AA4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E27A7D" w:rsidRPr="00E96AA4" w:rsidTr="009A6844">
        <w:tc>
          <w:tcPr>
            <w:tcW w:w="2977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27A7D" w:rsidRPr="00E96AA4" w:rsidTr="009A6844">
        <w:tc>
          <w:tcPr>
            <w:tcW w:w="2977" w:type="dxa"/>
            <w:vMerge/>
          </w:tcPr>
          <w:p w:rsidR="00E27A7D" w:rsidRPr="00E96AA4" w:rsidRDefault="00E27A7D" w:rsidP="001C367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27A7D" w:rsidRPr="00E96AA4" w:rsidRDefault="00E27A7D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E27A7D" w:rsidRPr="00E96AA4" w:rsidRDefault="00E27A7D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96AA4" w:rsidRPr="00E96AA4" w:rsidRDefault="00E96AA4" w:rsidP="00E96AA4">
            <w:pPr>
              <w:tabs>
                <w:tab w:val="left" w:pos="851"/>
              </w:tabs>
              <w:rPr>
                <w:rFonts w:cs="Times New Roman"/>
                <w:sz w:val="22"/>
                <w:szCs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E96AA4">
              <w:rPr>
                <w:rFonts w:cs="Times New Roman"/>
                <w:sz w:val="22"/>
                <w:szCs w:val="22"/>
                <w:lang w:val="en-US"/>
              </w:rPr>
              <w:t>I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>рекцию на 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В этой связи формирование здорового образа жизни у граждан, в том числе у детей и подростков, должно быть существенным образом </w:t>
      </w:r>
      <w:r w:rsidRPr="00AD31AC">
        <w:rPr>
          <w:rFonts w:ascii="Times New Roman" w:hAnsi="Times New Roman" w:cs="Times New Roman"/>
          <w:sz w:val="24"/>
          <w:szCs w:val="24"/>
        </w:rPr>
        <w:lastRenderedPageBreak/>
        <w:t>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Pr="00915F62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9A6844" w:rsidRPr="0002500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688"/>
        <w:gridCol w:w="1257"/>
        <w:gridCol w:w="1699"/>
        <w:gridCol w:w="1729"/>
        <w:gridCol w:w="1275"/>
        <w:gridCol w:w="996"/>
        <w:gridCol w:w="984"/>
        <w:gridCol w:w="1001"/>
        <w:gridCol w:w="996"/>
        <w:gridCol w:w="1006"/>
        <w:gridCol w:w="1548"/>
        <w:gridCol w:w="1418"/>
      </w:tblGrid>
      <w:tr w:rsidR="00E96AA4" w:rsidRPr="009D4293" w:rsidTr="00E96AA4">
        <w:tc>
          <w:tcPr>
            <w:tcW w:w="553" w:type="dxa"/>
            <w:vMerge w:val="restart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8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57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699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729" w:type="dxa"/>
            <w:vMerge w:val="restart"/>
          </w:tcPr>
          <w:p w:rsidR="009A6844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275" w:type="dxa"/>
            <w:vMerge w:val="restart"/>
          </w:tcPr>
          <w:p w:rsidR="00915F62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83" w:type="dxa"/>
            <w:gridSpan w:val="5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96AA4" w:rsidRPr="009D4293" w:rsidTr="00E96AA4">
        <w:tc>
          <w:tcPr>
            <w:tcW w:w="553" w:type="dxa"/>
            <w:vMerge/>
          </w:tcPr>
          <w:p w:rsidR="009A6844" w:rsidRPr="009D4293" w:rsidRDefault="009A6844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0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6AA4" w:rsidRPr="009D4293" w:rsidTr="00E96AA4">
        <w:trPr>
          <w:trHeight w:val="31"/>
        </w:trPr>
        <w:tc>
          <w:tcPr>
            <w:tcW w:w="553" w:type="dxa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7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99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29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0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96AA4" w:rsidRPr="009D4293" w:rsidTr="00E96AA4">
        <w:tc>
          <w:tcPr>
            <w:tcW w:w="553" w:type="dxa"/>
            <w:vMerge w:val="restart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88" w:type="dxa"/>
            <w:vMerge w:val="restart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3E4">
              <w:rPr>
                <w:rFonts w:ascii="Times New Roman" w:hAnsi="Times New Roman" w:cs="Times New Roman"/>
                <w:sz w:val="20"/>
              </w:rPr>
              <w:t xml:space="preserve">Основное 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системы раннего выявления заболеваний, </w:t>
            </w:r>
            <w:r w:rsidRPr="00E96AA4">
              <w:rPr>
                <w:rFonts w:ascii="Times New Roman" w:hAnsi="Times New Roman" w:cs="Times New Roman"/>
                <w:sz w:val="20"/>
              </w:rPr>
              <w:lastRenderedPageBreak/>
              <w:t>патологических состояний и факторов риска их развития, включая проведение медицинских осмотров и диспансеризации населения Московской области</w:t>
            </w:r>
          </w:p>
        </w:tc>
        <w:tc>
          <w:tcPr>
            <w:tcW w:w="1257" w:type="dxa"/>
            <w:vMerge w:val="restart"/>
          </w:tcPr>
          <w:p w:rsidR="00E96AA4" w:rsidRPr="00E96AA4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2020-2024</w:t>
            </w:r>
          </w:p>
        </w:tc>
        <w:tc>
          <w:tcPr>
            <w:tcW w:w="1699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E96AA4" w:rsidRPr="00555B5B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ГБУЗ МО </w:t>
            </w:r>
            <w:r w:rsidRPr="00555B5B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«ЭЦГБ»</w:t>
            </w:r>
          </w:p>
        </w:tc>
        <w:tc>
          <w:tcPr>
            <w:tcW w:w="1418" w:type="dxa"/>
            <w:vMerge w:val="restart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E96AA4" w:rsidRPr="009D4293" w:rsidTr="00E96AA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96AA4" w:rsidRPr="009A684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96AA4" w:rsidRPr="00560B3E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A4" w:rsidRPr="009D4293" w:rsidTr="00E96AA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lastRenderedPageBreak/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96AA4" w:rsidRPr="009A684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96AA4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A4" w:rsidRPr="009D4293" w:rsidTr="00E96AA4">
        <w:tc>
          <w:tcPr>
            <w:tcW w:w="553" w:type="dxa"/>
            <w:vMerge w:val="restart"/>
          </w:tcPr>
          <w:p w:rsidR="00E96AA4" w:rsidRPr="009D4293" w:rsidRDefault="00E96AA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88" w:type="dxa"/>
            <w:vMerge w:val="restart"/>
          </w:tcPr>
          <w:p w:rsidR="00E96AA4" w:rsidRDefault="00E96AA4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E96AA4" w:rsidRPr="009D4293" w:rsidRDefault="00E96AA4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6F5">
              <w:rPr>
                <w:rFonts w:ascii="Times New Roman" w:hAnsi="Times New Roman" w:cs="Times New Roman"/>
                <w:sz w:val="20"/>
              </w:rPr>
              <w:t>Проведение медицинских осмотров и диспансеризации населения</w:t>
            </w:r>
          </w:p>
        </w:tc>
        <w:tc>
          <w:tcPr>
            <w:tcW w:w="1257" w:type="dxa"/>
            <w:vMerge w:val="restart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699" w:type="dxa"/>
          </w:tcPr>
          <w:p w:rsidR="00E96AA4" w:rsidRPr="009D4293" w:rsidRDefault="00E96AA4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87" w:type="dxa"/>
            <w:gridSpan w:val="7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</w:tcPr>
          <w:p w:rsidR="00E96AA4" w:rsidRPr="009D4293" w:rsidRDefault="00E96AA4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96AA4" w:rsidRPr="009D4293" w:rsidRDefault="00E96AA4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A4" w:rsidRPr="009D4293" w:rsidTr="00E96AA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987" w:type="dxa"/>
            <w:gridSpan w:val="7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A4" w:rsidRPr="009D4293" w:rsidTr="00E96AA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987" w:type="dxa"/>
            <w:gridSpan w:val="7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A4" w:rsidRPr="009D4293" w:rsidTr="00E96AA4">
        <w:trPr>
          <w:trHeight w:val="20"/>
        </w:trPr>
        <w:tc>
          <w:tcPr>
            <w:tcW w:w="553" w:type="dxa"/>
            <w:vMerge w:val="restart"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</w:tcPr>
          <w:p w:rsidR="00E96AA4" w:rsidRPr="00E96AA4" w:rsidRDefault="00E96AA4" w:rsidP="00E96AA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7" w:type="dxa"/>
            <w:vMerge w:val="restart"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699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A4" w:rsidRPr="009D4293" w:rsidTr="00E96AA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96AA4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A4" w:rsidRPr="009D4293" w:rsidTr="00E96AA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96AA4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Pr="00E27A7D" w:rsidRDefault="00180F7A" w:rsidP="00555B5B">
      <w:pPr>
        <w:tabs>
          <w:tab w:val="left" w:pos="851"/>
        </w:tabs>
        <w:ind w:left="4253" w:firstLine="453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Pr="00025001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1C3672" w:rsidRPr="00163DE6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55B5B" w:rsidRPr="00025001" w:rsidTr="001C3672">
        <w:tc>
          <w:tcPr>
            <w:tcW w:w="2977" w:type="dxa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55B5B" w:rsidRPr="00E96AA4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55B5B" w:rsidRPr="00025001" w:rsidTr="001C3672">
        <w:tc>
          <w:tcPr>
            <w:tcW w:w="2977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55B5B" w:rsidRPr="00025001" w:rsidTr="001C3672">
        <w:tc>
          <w:tcPr>
            <w:tcW w:w="2977" w:type="dxa"/>
            <w:vMerge/>
          </w:tcPr>
          <w:p w:rsidR="00555B5B" w:rsidRPr="00025001" w:rsidRDefault="00555B5B" w:rsidP="00555B5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55B5B" w:rsidRPr="00025001" w:rsidRDefault="00555B5B" w:rsidP="00555B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55B5B" w:rsidRPr="00025001" w:rsidRDefault="00555B5B" w:rsidP="00555B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555B5B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555B5B">
              <w:rPr>
                <w:rFonts w:ascii="Times New Roman" w:hAnsi="Times New Roman" w:cs="Times New Roman"/>
                <w:szCs w:val="22"/>
              </w:rPr>
              <w:t xml:space="preserve"> V «Финансовое обеспечение системы организации медицинской помощи»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4931A8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6970DE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</w:tbl>
    <w:p w:rsidR="001C3672" w:rsidRDefault="001C3672" w:rsidP="001C3672">
      <w:pPr>
        <w:tabs>
          <w:tab w:val="left" w:pos="851"/>
        </w:tabs>
        <w:jc w:val="center"/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E515B2" w:rsidRPr="00AD31AC" w:rsidRDefault="00343959" w:rsidP="008E5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помощи, </w:t>
      </w:r>
    </w:p>
    <w:p w:rsidR="001C3672" w:rsidRPr="00915F62" w:rsidRDefault="001C3672" w:rsidP="00555B5B">
      <w:pPr>
        <w:spacing w:after="160" w:line="259" w:lineRule="auto"/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3. Перечень мероприятий </w:t>
      </w:r>
      <w:r w:rsidR="00555B5B" w:rsidRPr="00915F62">
        <w:rPr>
          <w:rFonts w:cs="Times New Roman"/>
        </w:rPr>
        <w:t>подпрограммы</w:t>
      </w:r>
      <w:r w:rsidR="00555B5B" w:rsidRPr="001C3672">
        <w:rPr>
          <w:rFonts w:cs="Times New Roman"/>
        </w:rPr>
        <w:t xml:space="preserve"> 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125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1C3672" w:rsidRPr="004931A8" w:rsidTr="00626CFF">
        <w:tc>
          <w:tcPr>
            <w:tcW w:w="567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1844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4931A8">
              <w:rPr>
                <w:rFonts w:ascii="Times New Roman" w:hAnsi="Times New Roman" w:cs="Times New Roman"/>
                <w:sz w:val="16"/>
              </w:rPr>
              <w:t>Мероприятие  подпрограммы</w:t>
            </w:r>
            <w:proofErr w:type="gramEnd"/>
          </w:p>
        </w:tc>
        <w:tc>
          <w:tcPr>
            <w:tcW w:w="1125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1C3672" w:rsidRPr="004931A8" w:rsidTr="00626CFF">
        <w:tc>
          <w:tcPr>
            <w:tcW w:w="567" w:type="dxa"/>
            <w:vMerge/>
          </w:tcPr>
          <w:p w:rsidR="001C3672" w:rsidRPr="004931A8" w:rsidRDefault="001C3672" w:rsidP="001C36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3672" w:rsidRPr="004931A8" w:rsidTr="00626CFF">
        <w:tc>
          <w:tcPr>
            <w:tcW w:w="567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25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357A3" w:rsidRPr="004931A8" w:rsidTr="00626CFF">
        <w:tc>
          <w:tcPr>
            <w:tcW w:w="567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1125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1559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57A3" w:rsidRPr="004931A8" w:rsidTr="00626CFF">
        <w:tc>
          <w:tcPr>
            <w:tcW w:w="567" w:type="dxa"/>
            <w:vMerge/>
          </w:tcPr>
          <w:p w:rsidR="002357A3" w:rsidRPr="004931A8" w:rsidRDefault="002357A3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1559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57A3" w:rsidRPr="004931A8" w:rsidTr="00626CFF">
        <w:tc>
          <w:tcPr>
            <w:tcW w:w="567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Мероприятие 1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1125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1559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Привлечение врачей</w:t>
            </w:r>
          </w:p>
        </w:tc>
      </w:tr>
      <w:tr w:rsidR="002357A3" w:rsidRPr="004931A8" w:rsidTr="00626CFF">
        <w:tc>
          <w:tcPr>
            <w:tcW w:w="567" w:type="dxa"/>
            <w:vMerge/>
          </w:tcPr>
          <w:p w:rsidR="002357A3" w:rsidRPr="004931A8" w:rsidRDefault="002357A3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1559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="002357A3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57A3" w:rsidRPr="004931A8" w:rsidTr="00626CFF">
        <w:tc>
          <w:tcPr>
            <w:tcW w:w="567" w:type="dxa"/>
          </w:tcPr>
          <w:p w:rsidR="002357A3" w:rsidRPr="004931A8" w:rsidRDefault="002357A3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 w:rsidR="008D2D0A"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25" w:type="dxa"/>
          </w:tcPr>
          <w:p w:rsidR="002357A3" w:rsidRPr="004931A8" w:rsidRDefault="002357A3" w:rsidP="002357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710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1559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Pr="00163DE6" w:rsidRDefault="001C3672" w:rsidP="009A6844">
      <w:pPr>
        <w:pStyle w:val="ConsPlusNormal"/>
        <w:jc w:val="both"/>
        <w:rPr>
          <w:rFonts w:ascii="Times New Roman" w:hAnsi="Times New Roman" w:cs="Times New Roman"/>
        </w:rPr>
      </w:pPr>
    </w:p>
    <w:sectPr w:rsidR="001C3672" w:rsidRPr="00163DE6" w:rsidSect="00E96A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3A9" w:rsidRDefault="005A23A9" w:rsidP="00263F59">
      <w:r>
        <w:separator/>
      </w:r>
    </w:p>
  </w:endnote>
  <w:endnote w:type="continuationSeparator" w:id="0">
    <w:p w:rsidR="005A23A9" w:rsidRDefault="005A23A9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3A9" w:rsidRDefault="005A23A9" w:rsidP="00263F59">
      <w:r>
        <w:separator/>
      </w:r>
    </w:p>
  </w:footnote>
  <w:footnote w:type="continuationSeparator" w:id="0">
    <w:p w:rsidR="005A23A9" w:rsidRDefault="005A23A9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611AFD" w:rsidRDefault="00611A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6F5">
          <w:rPr>
            <w:noProof/>
          </w:rPr>
          <w:t>13</w:t>
        </w:r>
        <w:r>
          <w:fldChar w:fldCharType="end"/>
        </w:r>
      </w:p>
    </w:sdtContent>
  </w:sdt>
  <w:p w:rsidR="00611AFD" w:rsidRDefault="00611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293C"/>
    <w:rsid w:val="000235FF"/>
    <w:rsid w:val="00041080"/>
    <w:rsid w:val="0005320B"/>
    <w:rsid w:val="000721D6"/>
    <w:rsid w:val="000745C0"/>
    <w:rsid w:val="00097460"/>
    <w:rsid w:val="000D2488"/>
    <w:rsid w:val="00150748"/>
    <w:rsid w:val="001516F5"/>
    <w:rsid w:val="001609E1"/>
    <w:rsid w:val="00180F7A"/>
    <w:rsid w:val="001A316A"/>
    <w:rsid w:val="001C3672"/>
    <w:rsid w:val="001E0621"/>
    <w:rsid w:val="0021279C"/>
    <w:rsid w:val="002357A3"/>
    <w:rsid w:val="00263F59"/>
    <w:rsid w:val="00273CA4"/>
    <w:rsid w:val="002D7754"/>
    <w:rsid w:val="0032510C"/>
    <w:rsid w:val="00343959"/>
    <w:rsid w:val="003453E4"/>
    <w:rsid w:val="003E534D"/>
    <w:rsid w:val="0040180E"/>
    <w:rsid w:val="00454CD9"/>
    <w:rsid w:val="004931A8"/>
    <w:rsid w:val="00496C6E"/>
    <w:rsid w:val="00520D89"/>
    <w:rsid w:val="00520DCB"/>
    <w:rsid w:val="00555B5B"/>
    <w:rsid w:val="005A23A9"/>
    <w:rsid w:val="00611AFD"/>
    <w:rsid w:val="006206F8"/>
    <w:rsid w:val="00622A96"/>
    <w:rsid w:val="00626CFF"/>
    <w:rsid w:val="006824F3"/>
    <w:rsid w:val="00683332"/>
    <w:rsid w:val="006904AA"/>
    <w:rsid w:val="006970DE"/>
    <w:rsid w:val="006A5209"/>
    <w:rsid w:val="006D3593"/>
    <w:rsid w:val="006D67AF"/>
    <w:rsid w:val="00732175"/>
    <w:rsid w:val="007857D3"/>
    <w:rsid w:val="0079713F"/>
    <w:rsid w:val="00835A5F"/>
    <w:rsid w:val="00866D90"/>
    <w:rsid w:val="00870297"/>
    <w:rsid w:val="008767B2"/>
    <w:rsid w:val="008D2D0A"/>
    <w:rsid w:val="008E5A05"/>
    <w:rsid w:val="00915F62"/>
    <w:rsid w:val="00920E42"/>
    <w:rsid w:val="00970B12"/>
    <w:rsid w:val="00980B95"/>
    <w:rsid w:val="009A6844"/>
    <w:rsid w:val="009C0F44"/>
    <w:rsid w:val="009E477A"/>
    <w:rsid w:val="009E57DE"/>
    <w:rsid w:val="009F2207"/>
    <w:rsid w:val="009F239E"/>
    <w:rsid w:val="00A129A1"/>
    <w:rsid w:val="00A53BF4"/>
    <w:rsid w:val="00A544D4"/>
    <w:rsid w:val="00A976F5"/>
    <w:rsid w:val="00AA0E7D"/>
    <w:rsid w:val="00AB247F"/>
    <w:rsid w:val="00AB4D7B"/>
    <w:rsid w:val="00AD31AC"/>
    <w:rsid w:val="00AD529C"/>
    <w:rsid w:val="00B322CE"/>
    <w:rsid w:val="00C167A5"/>
    <w:rsid w:val="00C537D2"/>
    <w:rsid w:val="00C834E1"/>
    <w:rsid w:val="00C91278"/>
    <w:rsid w:val="00C93B63"/>
    <w:rsid w:val="00D005F4"/>
    <w:rsid w:val="00D429D3"/>
    <w:rsid w:val="00DC355B"/>
    <w:rsid w:val="00DE3269"/>
    <w:rsid w:val="00E27A7D"/>
    <w:rsid w:val="00E30829"/>
    <w:rsid w:val="00E515B2"/>
    <w:rsid w:val="00E655F9"/>
    <w:rsid w:val="00E67A19"/>
    <w:rsid w:val="00E96AA4"/>
    <w:rsid w:val="00EC37D7"/>
    <w:rsid w:val="00EF0523"/>
    <w:rsid w:val="00F06879"/>
    <w:rsid w:val="00F37256"/>
    <w:rsid w:val="00F47B00"/>
    <w:rsid w:val="00F66E8F"/>
    <w:rsid w:val="00F71714"/>
    <w:rsid w:val="00FA4477"/>
    <w:rsid w:val="00FC0BE1"/>
    <w:rsid w:val="00FD21B6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exif_MSED_8031ba1df33699fce066508bf370c457e2c87c17398c8c75081e94682f0d3006</dc:description>
  <cp:lastModifiedBy>Юлия Емелина</cp:lastModifiedBy>
  <cp:revision>8</cp:revision>
  <cp:lastPrinted>2019-11-21T10:18:00Z</cp:lastPrinted>
  <dcterms:created xsi:type="dcterms:W3CDTF">2019-10-16T14:57:00Z</dcterms:created>
  <dcterms:modified xsi:type="dcterms:W3CDTF">2019-11-21T14:29:00Z</dcterms:modified>
</cp:coreProperties>
</file>