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A92250" w:rsidRDefault="00A92250" w:rsidP="00A92250">
      <w:pPr>
        <w:outlineLvl w:val="0"/>
      </w:pPr>
      <w:r>
        <w:tab/>
      </w:r>
      <w:r>
        <w:tab/>
      </w:r>
      <w:r>
        <w:tab/>
      </w:r>
      <w:r>
        <w:tab/>
      </w:r>
      <w:r>
        <w:tab/>
        <w:t xml:space="preserve"> </w:t>
      </w:r>
    </w:p>
    <w:p w:rsidR="00962D61" w:rsidRDefault="00962D61" w:rsidP="00A92250">
      <w:pPr>
        <w:outlineLvl w:val="0"/>
      </w:pPr>
    </w:p>
    <w:p w:rsidR="00053A2F" w:rsidRDefault="00053A2F" w:rsidP="00A92250">
      <w:pPr>
        <w:outlineLvl w:val="0"/>
      </w:pPr>
    </w:p>
    <w:p w:rsidR="00053A2F" w:rsidRDefault="00053A2F" w:rsidP="00A92250">
      <w:pPr>
        <w:outlineLvl w:val="0"/>
      </w:pPr>
    </w:p>
    <w:p w:rsidR="00053A2F" w:rsidRDefault="00053A2F" w:rsidP="00053A2F">
      <w:pPr>
        <w:tabs>
          <w:tab w:val="left" w:pos="3675"/>
        </w:tabs>
        <w:jc w:val="center"/>
      </w:pPr>
      <w:r>
        <w:t xml:space="preserve">О внесении изменений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r w:rsidR="00BE4E87">
        <w:rPr>
          <w:rFonts w:cs="Times New Roman"/>
        </w:rPr>
        <w:t>.</w:t>
      </w:r>
    </w:p>
    <w:p w:rsidR="00053A2F" w:rsidRDefault="00053A2F" w:rsidP="00652025">
      <w:pPr>
        <w:tabs>
          <w:tab w:val="left" w:pos="3675"/>
        </w:tabs>
        <w:rPr>
          <w:rFonts w:cs="Times New Roman"/>
        </w:rPr>
      </w:pPr>
    </w:p>
    <w:p w:rsidR="00936CD6" w:rsidRDefault="00936CD6" w:rsidP="00652025">
      <w:pPr>
        <w:tabs>
          <w:tab w:val="left" w:pos="3675"/>
        </w:tabs>
        <w:rPr>
          <w:rFonts w:cs="Times New Roman"/>
        </w:rPr>
      </w:pPr>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AD56F6" w:rsidRDefault="00053A2F" w:rsidP="00AD56F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53A2F" w:rsidRDefault="00053A2F" w:rsidP="00053A2F">
      <w:pPr>
        <w:tabs>
          <w:tab w:val="left" w:pos="1065"/>
        </w:tabs>
        <w:spacing w:line="260" w:lineRule="exact"/>
        <w:ind w:firstLine="709"/>
        <w:jc w:val="both"/>
      </w:pPr>
    </w:p>
    <w:p w:rsidR="00053A2F" w:rsidRDefault="00053A2F" w:rsidP="00AD56F6">
      <w:pPr>
        <w:tabs>
          <w:tab w:val="left" w:pos="1065"/>
        </w:tabs>
        <w:spacing w:line="260" w:lineRule="exact"/>
        <w:jc w:val="both"/>
      </w:pP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sidR="00BE4E87" w:rsidRPr="00545314">
        <w:rPr>
          <w:rFonts w:cs="Times New Roman"/>
        </w:rPr>
        <w:t>(в редакции постановлени</w:t>
      </w:r>
      <w:r w:rsidR="00101841">
        <w:rPr>
          <w:rFonts w:cs="Times New Roman"/>
        </w:rPr>
        <w:t>й</w:t>
      </w:r>
      <w:r w:rsidR="00BE4E87" w:rsidRPr="00545314">
        <w:rPr>
          <w:rFonts w:cs="Times New Roman"/>
        </w:rPr>
        <w:t xml:space="preserve"> Администрации городского округа Электросталь Московской области от </w:t>
      </w:r>
      <w:r w:rsidR="00BE4E87">
        <w:rPr>
          <w:rFonts w:cs="Times New Roman"/>
        </w:rPr>
        <w:t>16.02.2018 №118/2</w:t>
      </w:r>
      <w:r w:rsidR="00BD7E6A">
        <w:rPr>
          <w:rFonts w:cs="Times New Roman"/>
        </w:rPr>
        <w:t xml:space="preserve">, </w:t>
      </w:r>
      <w:r w:rsidR="00101841">
        <w:rPr>
          <w:rFonts w:cs="Times New Roman"/>
        </w:rPr>
        <w:t>от 16.04.2018 №310/4</w:t>
      </w:r>
      <w:r w:rsidR="00BE4E87" w:rsidRPr="00545314">
        <w:rPr>
          <w:rFonts w:cs="Times New Roman"/>
        </w:rPr>
        <w:t>)</w:t>
      </w:r>
      <w:r>
        <w:rPr>
          <w:rFonts w:cs="Times New Roman"/>
        </w:rPr>
        <w:t xml:space="preserve">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053A2F" w:rsidRPr="006C4431">
          <w:rPr>
            <w:rStyle w:val="aa"/>
            <w:color w:val="auto"/>
            <w:u w:val="none"/>
            <w:lang w:val="en-US"/>
          </w:rPr>
          <w:t>www</w:t>
        </w:r>
        <w:r w:rsidR="00053A2F" w:rsidRPr="006C4431">
          <w:rPr>
            <w:rStyle w:val="aa"/>
            <w:color w:val="auto"/>
            <w:u w:val="none"/>
          </w:rPr>
          <w:t>.</w:t>
        </w:r>
        <w:r w:rsidR="00053A2F" w:rsidRPr="006C4431">
          <w:rPr>
            <w:rStyle w:val="aa"/>
            <w:color w:val="auto"/>
            <w:u w:val="none"/>
            <w:lang w:val="en-US"/>
          </w:rPr>
          <w:t>electrostal</w:t>
        </w:r>
        <w:r w:rsidR="00053A2F" w:rsidRPr="006C4431">
          <w:rPr>
            <w:rStyle w:val="aa"/>
            <w:color w:val="auto"/>
            <w:u w:val="none"/>
          </w:rPr>
          <w:t>.</w:t>
        </w:r>
        <w:r w:rsidR="00053A2F" w:rsidRPr="006C4431">
          <w:rPr>
            <w:rStyle w:val="aa"/>
            <w:color w:val="auto"/>
            <w:u w:val="none"/>
            <w:lang w:val="en-US"/>
          </w:rPr>
          <w:t>ru</w:t>
        </w:r>
      </w:hyperlink>
      <w:r w:rsidR="00053A2F" w:rsidRPr="006C4431">
        <w:t>.</w:t>
      </w:r>
    </w:p>
    <w:p w:rsidR="00053A2F" w:rsidRDefault="00007761" w:rsidP="00053A2F">
      <w:pPr>
        <w:tabs>
          <w:tab w:val="left" w:pos="3675"/>
        </w:tabs>
        <w:spacing w:line="260" w:lineRule="exact"/>
        <w:ind w:firstLine="709"/>
        <w:jc w:val="both"/>
      </w:pPr>
      <w:r w:rsidRPr="00007761">
        <w:lastRenderedPageBreak/>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53A2F" w:rsidRDefault="00053A2F" w:rsidP="00053A2F">
      <w:pPr>
        <w:tabs>
          <w:tab w:val="left" w:pos="3675"/>
        </w:tabs>
        <w:spacing w:line="260" w:lineRule="exact"/>
        <w:ind w:firstLine="709"/>
        <w:jc w:val="both"/>
      </w:pPr>
    </w:p>
    <w:p w:rsidR="00053A2F" w:rsidRDefault="00053A2F" w:rsidP="00053A2F">
      <w:pPr>
        <w:jc w:val="both"/>
      </w:pPr>
    </w:p>
    <w:p w:rsidR="00053A2F" w:rsidRDefault="00053A2F" w:rsidP="00053A2F">
      <w:pPr>
        <w:jc w:val="both"/>
      </w:pPr>
    </w:p>
    <w:p w:rsidR="00064F67" w:rsidRPr="009B1C75" w:rsidRDefault="00064F67" w:rsidP="00064F67">
      <w:pPr>
        <w:spacing w:line="240" w:lineRule="exact"/>
      </w:pPr>
      <w:r w:rsidRPr="009B1C75">
        <w:t xml:space="preserve">Главы городского округа </w:t>
      </w:r>
      <w:r w:rsidR="00101841">
        <w:t xml:space="preserve">                                                                                         В.Я. Пекарев</w:t>
      </w:r>
    </w:p>
    <w:p w:rsidR="00053A2F" w:rsidRDefault="00053A2F" w:rsidP="00053A2F">
      <w:pPr>
        <w:jc w:val="both"/>
      </w:pPr>
    </w:p>
    <w:p w:rsidR="00053A2F" w:rsidRDefault="00053A2F" w:rsidP="00053A2F">
      <w:pPr>
        <w:jc w:val="both"/>
      </w:pPr>
    </w:p>
    <w:p w:rsidR="00053A2F" w:rsidRDefault="00053A2F" w:rsidP="00053A2F">
      <w:pPr>
        <w:jc w:val="both"/>
      </w:pPr>
    </w:p>
    <w:p w:rsidR="004C647C" w:rsidRDefault="00053A2F" w:rsidP="002673A5">
      <w:pPr>
        <w:tabs>
          <w:tab w:val="left" w:pos="3675"/>
        </w:tabs>
        <w:jc w:val="both"/>
      </w:pPr>
      <w:r>
        <w:t xml:space="preserve">Рассылка: </w:t>
      </w:r>
      <w:r w:rsidR="002673A5">
        <w:t>И.Ю</w:t>
      </w:r>
      <w:r w:rsidR="002673A5" w:rsidRPr="002673A5">
        <w:t>.</w:t>
      </w:r>
      <w:r w:rsidR="002673A5">
        <w:t xml:space="preserve"> </w:t>
      </w:r>
      <w:r>
        <w:t xml:space="preserve">Волковой, </w:t>
      </w:r>
      <w:r w:rsidR="002673A5">
        <w:t>В.А.</w:t>
      </w:r>
      <w:r w:rsidR="002673A5" w:rsidRPr="002673A5">
        <w:t xml:space="preserve"> </w:t>
      </w:r>
      <w:r>
        <w:t>Денисову,</w:t>
      </w:r>
      <w:r w:rsidRPr="005B50C8">
        <w:t xml:space="preserve"> </w:t>
      </w:r>
      <w:r w:rsidR="002673A5">
        <w:t>С.А.</w:t>
      </w:r>
      <w:r w:rsidR="002673A5" w:rsidRPr="002673A5">
        <w:t xml:space="preserve"> </w:t>
      </w:r>
      <w:r>
        <w:t xml:space="preserve">Белоусовой, </w:t>
      </w:r>
      <w:r w:rsidR="002673A5">
        <w:t>И.В.</w:t>
      </w:r>
      <w:r w:rsidR="002673A5" w:rsidRPr="002673A5">
        <w:t xml:space="preserve"> </w:t>
      </w:r>
      <w:r w:rsidR="006A095A">
        <w:t>Бузурной</w:t>
      </w:r>
      <w:r>
        <w:t xml:space="preserve">, </w:t>
      </w:r>
      <w:r w:rsidR="002673A5">
        <w:t>В.С</w:t>
      </w:r>
      <w:r w:rsidR="002673A5" w:rsidRPr="002673A5">
        <w:t>.</w:t>
      </w:r>
      <w:r w:rsidR="002673A5">
        <w:t xml:space="preserve"> </w:t>
      </w:r>
      <w:r>
        <w:t xml:space="preserve">Ларионову, </w:t>
      </w:r>
      <w:r w:rsidR="002673A5">
        <w:t>Е.П.</w:t>
      </w:r>
      <w:r w:rsidR="002673A5" w:rsidRPr="002673A5">
        <w:t xml:space="preserve"> </w:t>
      </w:r>
      <w:r>
        <w:t xml:space="preserve">Даницкой, </w:t>
      </w:r>
      <w:r w:rsidR="002673A5">
        <w:t xml:space="preserve">О.Н. </w:t>
      </w:r>
      <w:r>
        <w:t xml:space="preserve">Елихину, </w:t>
      </w:r>
      <w:r w:rsidR="00101841">
        <w:t>Э.Б</w:t>
      </w:r>
      <w:r w:rsidR="002673A5" w:rsidRPr="002673A5">
        <w:t>.</w:t>
      </w:r>
      <w:r w:rsidR="002673A5">
        <w:t xml:space="preserve"> </w:t>
      </w:r>
      <w:r>
        <w:t>Ду</w:t>
      </w:r>
      <w:r w:rsidR="00101841">
        <w:t>шкину</w:t>
      </w:r>
      <w:r>
        <w:t>-2, в прокуратуру, отделу</w:t>
      </w:r>
      <w:r w:rsidRPr="0015195D">
        <w:t xml:space="preserve"> правового обеспечения и кадровой</w:t>
      </w:r>
      <w:r>
        <w:t xml:space="preserve"> работы, Министерству жилищно-коммунального хозяйства Московской области, Министерству энергетики Московской области, М</w:t>
      </w:r>
      <w:r w:rsidR="002673A5">
        <w:t>Б</w:t>
      </w:r>
      <w:r>
        <w:t>У «</w:t>
      </w:r>
      <w:r w:rsidR="002673A5">
        <w:t>Благоустройство</w:t>
      </w:r>
      <w:r>
        <w:t>», ООО «ЭЛКОД», в регистр муни</w:t>
      </w:r>
      <w:r w:rsidR="009E26AD">
        <w:t>ципальных правовых актов, в дело.</w:t>
      </w:r>
      <w:r w:rsidR="00F87C0B">
        <w:t xml:space="preserve"> </w:t>
      </w: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4C647C" w:rsidRDefault="004C647C" w:rsidP="002673A5">
      <w:pPr>
        <w:tabs>
          <w:tab w:val="left" w:pos="3675"/>
        </w:tabs>
        <w:jc w:val="both"/>
      </w:pPr>
    </w:p>
    <w:p w:rsidR="002673A5" w:rsidRDefault="002673A5" w:rsidP="002673A5">
      <w:pPr>
        <w:tabs>
          <w:tab w:val="left" w:pos="3675"/>
        </w:tabs>
        <w:jc w:val="both"/>
        <w:rPr>
          <w:rFonts w:cs="Times New Roman"/>
        </w:rPr>
      </w:pPr>
    </w:p>
    <w:p w:rsidR="00F87C0B" w:rsidRDefault="00F87C0B" w:rsidP="002673A5">
      <w:pPr>
        <w:tabs>
          <w:tab w:val="left" w:pos="3675"/>
        </w:tabs>
        <w:jc w:val="both"/>
        <w:rPr>
          <w:rFonts w:cs="Times New Roman"/>
        </w:rPr>
        <w:sectPr w:rsidR="00F87C0B" w:rsidSect="00053A2F">
          <w:headerReference w:type="default" r:id="rId10"/>
          <w:headerReference w:type="first" r:id="rId11"/>
          <w:pgSz w:w="11906" w:h="16838"/>
          <w:pgMar w:top="1134" w:right="851" w:bottom="568"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4C647C" w:rsidRPr="004C647C" w:rsidRDefault="004C647C" w:rsidP="004C647C">
      <w:pPr>
        <w:tabs>
          <w:tab w:val="left" w:pos="3675"/>
        </w:tabs>
        <w:ind w:firstLine="10632"/>
        <w:jc w:val="both"/>
        <w:rPr>
          <w:sz w:val="18"/>
          <w:szCs w:val="18"/>
        </w:rPr>
      </w:pPr>
      <w:r w:rsidRPr="004C647C">
        <w:rPr>
          <w:rFonts w:cs="Times New Roman"/>
          <w:sz w:val="18"/>
          <w:szCs w:val="18"/>
        </w:rPr>
        <w:t>от 16.02.2018 №118/2</w:t>
      </w:r>
      <w:r w:rsidR="00101841">
        <w:rPr>
          <w:rFonts w:cs="Times New Roman"/>
          <w:sz w:val="18"/>
          <w:szCs w:val="18"/>
        </w:rPr>
        <w:t>, от 16.04.2018 №310/4</w:t>
      </w:r>
      <w:r w:rsidRPr="004C647C">
        <w:rPr>
          <w:rFonts w:cs="Times New Roman"/>
          <w:sz w:val="18"/>
          <w:szCs w:val="18"/>
        </w:rPr>
        <w:t>)</w:t>
      </w:r>
    </w:p>
    <w:p w:rsidR="007272EF" w:rsidRPr="00936CD6" w:rsidRDefault="007272EF" w:rsidP="00936CD6">
      <w:pPr>
        <w:spacing w:line="240" w:lineRule="exact"/>
        <w:rPr>
          <w:rFonts w:cs="Times New Roman"/>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9A6D16" w:rsidRPr="009B427B" w:rsidTr="009A6D16">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6D16" w:rsidRPr="009B427B" w:rsidRDefault="009A6D16" w:rsidP="009A6D16">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Default="009A6D16" w:rsidP="009A6D16">
            <w:pPr>
              <w:jc w:val="center"/>
              <w:rPr>
                <w:rFonts w:cs="Times New Roman"/>
                <w:color w:val="000000"/>
              </w:rPr>
            </w:pPr>
            <w:r>
              <w:rPr>
                <w:color w:val="000000"/>
              </w:rPr>
              <w:t>878 081,68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417 880,61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127 205,22</w:t>
            </w:r>
          </w:p>
        </w:tc>
      </w:tr>
      <w:tr w:rsidR="009A6D16" w:rsidRPr="009B427B" w:rsidTr="009A6D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6D16" w:rsidRPr="009B427B" w:rsidRDefault="009A6D16" w:rsidP="009A6D16">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209 843,76</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204 445,76</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pPr>
            <w:r>
              <w:t>2 699,00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A6D16" w:rsidRPr="009B427B" w:rsidRDefault="009A6D16" w:rsidP="009A6D16">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6D16" w:rsidRPr="009B427B" w:rsidRDefault="009A6D16" w:rsidP="009A6D16">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6D16" w:rsidRPr="009B427B" w:rsidRDefault="009A6D16" w:rsidP="009A6D16">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1 114 758,82</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649 159,75</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w:t>
      </w:r>
      <w:r w:rsidRPr="008B29F1">
        <w:lastRenderedPageBreak/>
        <w:t xml:space="preserve">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w:t>
      </w:r>
      <w:r w:rsidRPr="008B29F1">
        <w:lastRenderedPageBreak/>
        <w:t>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lastRenderedPageBreak/>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lastRenderedPageBreak/>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lastRenderedPageBreak/>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 xml:space="preserve">предусматривает решение задач по </w:t>
      </w:r>
      <w:r w:rsidRPr="008B29F1">
        <w:lastRenderedPageBreak/>
        <w:t>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lastRenderedPageBreak/>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Доля современных энергоэффективных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Досв=Посв/Побщ*100%,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Посв- протяжённость освещённых улиц, проездов, набережных, с уровнем освещённости, соответствующему нормативным значениям,км; </w:t>
            </w:r>
          </w:p>
          <w:p w:rsidR="00477D8E" w:rsidRPr="001E7D25" w:rsidRDefault="00477D8E" w:rsidP="00477D8E">
            <w:pPr>
              <w:shd w:val="clear" w:color="auto" w:fill="FFFFFF" w:themeFill="background1"/>
              <w:ind w:firstLine="539"/>
              <w:jc w:val="both"/>
            </w:pPr>
            <w:r w:rsidRPr="001E7D25">
              <w:t>Побщ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xml:space="preserve"> Количество многоквартирных домов, </w:t>
            </w:r>
            <w:r w:rsidRPr="001661E7">
              <w:lastRenderedPageBreak/>
              <w:t>прошедших комплексный капитальный 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lastRenderedPageBreak/>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w:t>
            </w:r>
            <w:r w:rsidRPr="008014FC">
              <w:rPr>
                <w:color w:val="000000"/>
              </w:rPr>
              <w:lastRenderedPageBreak/>
              <w:t>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lastRenderedPageBreak/>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0" w:name="Par210"/>
      <w:bookmarkEnd w:id="0"/>
      <w:r w:rsidRPr="001B4F5B">
        <w:lastRenderedPageBreak/>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7"/>
      <w:bookmarkStart w:id="2" w:name="Par218"/>
      <w:bookmarkEnd w:id="1"/>
      <w:bookmarkEnd w:id="2"/>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3" w:name="Par219"/>
      <w:bookmarkEnd w:id="3"/>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lastRenderedPageBreak/>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936CD6" w:rsidRDefault="00936CD6" w:rsidP="00007761">
      <w:pPr>
        <w:spacing w:line="240" w:lineRule="exact"/>
        <w:jc w:val="both"/>
      </w:pPr>
    </w:p>
    <w:p w:rsidR="00477D8E" w:rsidRDefault="00477D8E" w:rsidP="00007761">
      <w:pPr>
        <w:spacing w:line="240" w:lineRule="exact"/>
        <w:jc w:val="both"/>
      </w:pP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2263"/>
        <w:gridCol w:w="1701"/>
        <w:gridCol w:w="2552"/>
        <w:gridCol w:w="1701"/>
        <w:gridCol w:w="1701"/>
        <w:gridCol w:w="1417"/>
        <w:gridCol w:w="1134"/>
        <w:gridCol w:w="1134"/>
        <w:gridCol w:w="1070"/>
      </w:tblGrid>
      <w:tr w:rsidR="004D33F1" w:rsidRPr="004D33F1" w:rsidTr="004D33F1">
        <w:trPr>
          <w:trHeight w:val="392"/>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Муниципальный заказчик подпрограммы</w:t>
            </w:r>
          </w:p>
        </w:tc>
        <w:tc>
          <w:tcPr>
            <w:tcW w:w="12410" w:type="dxa"/>
            <w:gridSpan w:val="8"/>
            <w:tcBorders>
              <w:top w:val="single" w:sz="4" w:space="0" w:color="auto"/>
              <w:left w:val="nil"/>
              <w:bottom w:val="single" w:sz="4" w:space="0" w:color="auto"/>
              <w:right w:val="single" w:sz="4" w:space="0" w:color="auto"/>
            </w:tcBorders>
            <w:shd w:val="clear" w:color="auto" w:fill="auto"/>
            <w:vAlign w:val="bottom"/>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4D33F1" w:rsidRPr="004D33F1" w:rsidTr="004D33F1">
        <w:trPr>
          <w:trHeight w:val="118"/>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nil"/>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Главный распорядитель бюджетных средств</w:t>
            </w:r>
          </w:p>
        </w:tc>
        <w:tc>
          <w:tcPr>
            <w:tcW w:w="2552" w:type="dxa"/>
            <w:vMerge w:val="restart"/>
            <w:tcBorders>
              <w:top w:val="nil"/>
              <w:left w:val="single" w:sz="4" w:space="0" w:color="auto"/>
              <w:bottom w:val="nil"/>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Источник финансирования</w:t>
            </w:r>
          </w:p>
        </w:tc>
        <w:tc>
          <w:tcPr>
            <w:tcW w:w="8157" w:type="dxa"/>
            <w:gridSpan w:val="6"/>
            <w:tcBorders>
              <w:top w:val="single" w:sz="4" w:space="0" w:color="auto"/>
              <w:left w:val="nil"/>
              <w:bottom w:val="single" w:sz="4" w:space="0" w:color="auto"/>
              <w:right w:val="single" w:sz="4" w:space="0" w:color="000000"/>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Расходы (тыс. рублей)</w:t>
            </w:r>
          </w:p>
        </w:tc>
      </w:tr>
      <w:tr w:rsidR="004D33F1" w:rsidRPr="004D33F1" w:rsidTr="004D33F1">
        <w:trPr>
          <w:trHeight w:val="305"/>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ИТОГО</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2018</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2019</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2021</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2022</w:t>
            </w:r>
          </w:p>
        </w:tc>
      </w:tr>
      <w:tr w:rsidR="004D33F1" w:rsidRPr="004D33F1" w:rsidTr="004D33F1">
        <w:trPr>
          <w:trHeight w:val="173"/>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Pr>
                <w:rFonts w:cs="Times New Roman"/>
                <w:color w:val="000000"/>
                <w:sz w:val="20"/>
                <w:szCs w:val="20"/>
              </w:rPr>
              <w:t xml:space="preserve">Всего: </w:t>
            </w:r>
            <w:r w:rsidRPr="004D33F1">
              <w:rPr>
                <w:rFonts w:cs="Times New Roman"/>
                <w:color w:val="000000"/>
                <w:sz w:val="20"/>
                <w:szCs w:val="20"/>
              </w:rPr>
              <w:t>в том числе:</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534086,81</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334664,56</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46900,50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48627,40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348"/>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442741,37</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248717,12</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44201,50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45928,40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410"/>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64512,06</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59114,06</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273"/>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292"/>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УГЖКХ</w:t>
            </w: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302741,37</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108717,12</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44201,50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45928,40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267"/>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64512,06</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59114,06</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130"/>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875"/>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rPr>
                <w:rFonts w:cs="Times New Roman"/>
                <w:color w:val="000000"/>
                <w:sz w:val="20"/>
                <w:szCs w:val="20"/>
              </w:rPr>
            </w:pPr>
            <w:bookmarkStart w:id="4" w:name="_GoBack"/>
            <w:bookmarkEnd w:id="4"/>
            <w:r w:rsidRPr="004D33F1">
              <w:rPr>
                <w:rFonts w:cs="Times New Roman"/>
                <w:color w:val="000000"/>
                <w:sz w:val="20"/>
                <w:szCs w:val="20"/>
              </w:rPr>
              <w:t>Администрация г.о.</w:t>
            </w:r>
            <w:r>
              <w:rPr>
                <w:rFonts w:cs="Times New Roman"/>
                <w:color w:val="000000"/>
                <w:sz w:val="20"/>
                <w:szCs w:val="20"/>
              </w:rPr>
              <w:t xml:space="preserve"> </w:t>
            </w:r>
            <w:r w:rsidRPr="004D33F1">
              <w:rPr>
                <w:rFonts w:cs="Times New Roman"/>
                <w:color w:val="000000"/>
                <w:sz w:val="20"/>
                <w:szCs w:val="20"/>
              </w:rPr>
              <w:t xml:space="preserve">Электросталь Московской области </w:t>
            </w: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140 000,00</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140 000,00</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bl>
    <w:p w:rsidR="00B63A8F" w:rsidRDefault="00B63A8F" w:rsidP="00006935">
      <w:pPr>
        <w:rPr>
          <w:sz w:val="20"/>
          <w:szCs w:val="20"/>
        </w:rPr>
        <w:sectPr w:rsidR="00B63A8F" w:rsidSect="004C647C">
          <w:headerReference w:type="default" r:id="rId12"/>
          <w:pgSz w:w="16838" w:h="11906" w:orient="landscape"/>
          <w:pgMar w:top="567"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0" w:type="auto"/>
        <w:tblInd w:w="113" w:type="dxa"/>
        <w:tblLayout w:type="fixed"/>
        <w:tblLook w:val="04A0" w:firstRow="1" w:lastRow="0" w:firstColumn="1" w:lastColumn="0" w:noHBand="0" w:noVBand="1"/>
      </w:tblPr>
      <w:tblGrid>
        <w:gridCol w:w="608"/>
        <w:gridCol w:w="1550"/>
        <w:gridCol w:w="814"/>
        <w:gridCol w:w="1276"/>
        <w:gridCol w:w="1134"/>
        <w:gridCol w:w="1417"/>
        <w:gridCol w:w="1287"/>
        <w:gridCol w:w="1123"/>
        <w:gridCol w:w="992"/>
        <w:gridCol w:w="993"/>
        <w:gridCol w:w="1134"/>
        <w:gridCol w:w="992"/>
        <w:gridCol w:w="1353"/>
      </w:tblGrid>
      <w:tr w:rsidR="009A6D16" w:rsidRPr="009A6D16" w:rsidTr="009A6D16">
        <w:trPr>
          <w:trHeight w:val="420"/>
        </w:trPr>
        <w:tc>
          <w:tcPr>
            <w:tcW w:w="6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N п/п</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Мероприятия по реализации подпрограммы</w:t>
            </w:r>
          </w:p>
        </w:tc>
        <w:tc>
          <w:tcPr>
            <w:tcW w:w="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Срок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Результаты выполнения мероприятий подпрограммы</w:t>
            </w:r>
          </w:p>
        </w:tc>
      </w:tr>
      <w:tr w:rsidR="009A6D16" w:rsidRPr="009A6D16" w:rsidTr="009A6D16">
        <w:trPr>
          <w:trHeight w:val="297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tcBorders>
              <w:top w:val="nil"/>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w:t>
            </w:r>
          </w:p>
        </w:tc>
        <w:tc>
          <w:tcPr>
            <w:tcW w:w="155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w:t>
            </w:r>
          </w:p>
        </w:tc>
        <w:tc>
          <w:tcPr>
            <w:tcW w:w="81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w:t>
            </w:r>
          </w:p>
        </w:tc>
        <w:tc>
          <w:tcPr>
            <w:tcW w:w="135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w:t>
            </w:r>
          </w:p>
        </w:tc>
      </w:tr>
      <w:tr w:rsidR="009A6D16" w:rsidRPr="009A6D16" w:rsidTr="009A6D16">
        <w:trPr>
          <w:trHeight w:val="279"/>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814"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Благоустройство общественной территории городского округа</w:t>
            </w:r>
          </w:p>
        </w:tc>
      </w:tr>
      <w:tr w:rsidR="009A6D16" w:rsidRPr="009A6D16" w:rsidTr="009A6D16">
        <w:trPr>
          <w:trHeight w:val="1829"/>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sz w:val="20"/>
                <w:szCs w:val="20"/>
              </w:rPr>
            </w:pPr>
            <w:r w:rsidRPr="009A6D16">
              <w:rPr>
                <w:rFonts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0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09"/>
        </w:trPr>
        <w:tc>
          <w:tcPr>
            <w:tcW w:w="608" w:type="dxa"/>
            <w:tcBorders>
              <w:top w:val="nil"/>
              <w:left w:val="single" w:sz="4" w:space="0" w:color="auto"/>
              <w:bottom w:val="nil"/>
              <w:right w:val="single" w:sz="4" w:space="0" w:color="auto"/>
            </w:tcBorders>
            <w:shd w:val="clear" w:color="000000" w:fill="FFFFFF"/>
            <w:noWrap/>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lastRenderedPageBreak/>
              <w:t> </w:t>
            </w:r>
          </w:p>
        </w:tc>
        <w:tc>
          <w:tcPr>
            <w:tcW w:w="1550" w:type="dxa"/>
            <w:tcBorders>
              <w:top w:val="nil"/>
              <w:left w:val="nil"/>
              <w:bottom w:val="nil"/>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 </w:t>
            </w: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3"/>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Подготовка к празднованию юбилея городского округа </w:t>
            </w:r>
          </w:p>
        </w:tc>
      </w:tr>
      <w:tr w:rsidR="009A6D16" w:rsidRPr="009A6D16" w:rsidTr="009A6D16">
        <w:trPr>
          <w:trHeight w:val="66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8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8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65"/>
        </w:trPr>
        <w:tc>
          <w:tcPr>
            <w:tcW w:w="608" w:type="dxa"/>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3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2.  Благоустройство зоны отдыха и пешеходной зоны по проспекту Ленина от ул. Корешкова до проезда Чернышевского</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Комитет по строительству</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Благоустройство зоны отдыха и пешеходной зоны по проспекту Ленина от ул. Корешкова до проезда Чернышевского</w:t>
            </w:r>
          </w:p>
        </w:tc>
      </w:tr>
      <w:tr w:rsidR="009A6D16" w:rsidRPr="009A6D16" w:rsidTr="009A6D16">
        <w:trPr>
          <w:trHeight w:val="157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287"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1.3</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8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Наличие проектно-сметной документации.</w:t>
            </w:r>
          </w:p>
        </w:tc>
      </w:tr>
      <w:tr w:rsidR="009A6D16" w:rsidRPr="009A6D16" w:rsidTr="009A6D16">
        <w:trPr>
          <w:trHeight w:val="201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осталь</w:t>
            </w:r>
          </w:p>
          <w:p w:rsidR="009A6D16" w:rsidRPr="009A6D16" w:rsidRDefault="009A6D16" w:rsidP="009A6D16">
            <w:pPr>
              <w:rPr>
                <w:rFonts w:cs="Times New Roman"/>
                <w:color w:val="000000"/>
                <w:sz w:val="20"/>
                <w:szCs w:val="20"/>
              </w:rPr>
            </w:pP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79"/>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814"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Установка детских игровых площадок</w:t>
            </w:r>
          </w:p>
        </w:tc>
      </w:tr>
      <w:tr w:rsidR="009A6D16" w:rsidRPr="009A6D16" w:rsidTr="009A6D16">
        <w:trPr>
          <w:trHeight w:val="102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64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2.1</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1.                Установка </w:t>
            </w:r>
            <w:r w:rsidRPr="009A6D16">
              <w:rPr>
                <w:rFonts w:cs="Times New Roman"/>
                <w:color w:val="000000"/>
                <w:sz w:val="20"/>
                <w:szCs w:val="20"/>
              </w:rPr>
              <w:lastRenderedPageBreak/>
              <w:t xml:space="preserve">детских игровых площадок в рамках Губернаторской программы "Наше </w:t>
            </w:r>
            <w:r>
              <w:rPr>
                <w:rFonts w:cs="Times New Roman"/>
                <w:color w:val="000000"/>
                <w:sz w:val="20"/>
                <w:szCs w:val="20"/>
              </w:rPr>
              <w:t>П</w:t>
            </w:r>
            <w:r w:rsidRPr="009A6D16">
              <w:rPr>
                <w:rFonts w:cs="Times New Roman"/>
                <w:color w:val="000000"/>
                <w:sz w:val="20"/>
                <w:szCs w:val="20"/>
              </w:rPr>
              <w:t>одмосковье"</w:t>
            </w:r>
          </w:p>
        </w:tc>
        <w:tc>
          <w:tcPr>
            <w:tcW w:w="814"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Установка детских игровых </w:t>
            </w:r>
            <w:r w:rsidRPr="009A6D16">
              <w:rPr>
                <w:rFonts w:cs="Times New Roman"/>
                <w:color w:val="000000"/>
                <w:sz w:val="20"/>
                <w:szCs w:val="20"/>
              </w:rPr>
              <w:lastRenderedPageBreak/>
              <w:t>площадок</w:t>
            </w:r>
          </w:p>
        </w:tc>
      </w:tr>
      <w:tr w:rsidR="009A6D16" w:rsidRPr="009A6D16" w:rsidTr="009A6D16">
        <w:trPr>
          <w:trHeight w:val="1275"/>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1"/>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24335,30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324258,72</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146356,47</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40800,50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43587,40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45166,44</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48347,91</w:t>
            </w:r>
          </w:p>
        </w:tc>
        <w:tc>
          <w:tcPr>
            <w:tcW w:w="992"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Благоустройство дворовых территорий городского округа </w:t>
            </w:r>
          </w:p>
        </w:tc>
      </w:tr>
      <w:tr w:rsidR="009A6D16" w:rsidRPr="009A6D16" w:rsidTr="009A6D16">
        <w:trPr>
          <w:trHeight w:val="70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21636,30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246942,28</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74438,03</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38101,50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40888,40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45166,44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48347,91</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1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2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50483,06</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45085,06</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7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8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80"/>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3.1</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9A6D16">
              <w:rPr>
                <w:rFonts w:cs="Times New Roman"/>
                <w:color w:val="000000"/>
                <w:sz w:val="20"/>
                <w:szCs w:val="20"/>
              </w:rPr>
              <w:t>покрытия дворовых территорий в рамках комплексного благоустройства</w:t>
            </w:r>
          </w:p>
        </w:tc>
        <w:tc>
          <w:tcPr>
            <w:tcW w:w="8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62192,04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62192,04</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Обустройство и ремонт асфальтового  покрытия дворовых территорий</w:t>
            </w:r>
          </w:p>
        </w:tc>
      </w:tr>
      <w:tr w:rsidR="009A6D16" w:rsidRPr="009A6D16" w:rsidTr="009A6D16">
        <w:trPr>
          <w:trHeight w:val="123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12500,60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12500,60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3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22858,06</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22858,06</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71"/>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5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28"/>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3.2</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2.                Содержание территорий общего пользования городского округа</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12700,00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103311,24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24653,69</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17419,40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18353,30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20778,24</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22106,61</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Содержание территорий общего пользования </w:t>
            </w:r>
          </w:p>
        </w:tc>
      </w:tr>
      <w:tr w:rsidR="009A6D16" w:rsidRPr="009A6D16" w:rsidTr="009A6D16">
        <w:trPr>
          <w:trHeight w:val="112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12700,00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103311,24</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24653,69</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17419,40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18353,30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20778,24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22106,61</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4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5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3.3</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3.                          Защита </w:t>
            </w:r>
            <w:r w:rsidRPr="009A6D16">
              <w:rPr>
                <w:rFonts w:cs="Times New Roman"/>
                <w:color w:val="000000"/>
                <w:sz w:val="20"/>
                <w:szCs w:val="20"/>
              </w:rPr>
              <w:lastRenderedPageBreak/>
              <w:t>территорий городского округа  от неблагоприятного воздействия безнадзорных животных</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8097,00</w:t>
            </w:r>
          </w:p>
        </w:tc>
        <w:tc>
          <w:tcPr>
            <w:tcW w:w="1287"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12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2" w:type="dxa"/>
            <w:tcBorders>
              <w:top w:val="nil"/>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3"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отлов и содержание безнадзорны</w:t>
            </w:r>
            <w:r w:rsidRPr="009A6D16">
              <w:rPr>
                <w:rFonts w:cs="Times New Roman"/>
                <w:color w:val="000000"/>
                <w:sz w:val="20"/>
                <w:szCs w:val="20"/>
              </w:rPr>
              <w:lastRenderedPageBreak/>
              <w:t xml:space="preserve">х животных </w:t>
            </w:r>
          </w:p>
        </w:tc>
      </w:tr>
      <w:tr w:rsidR="009A6D16" w:rsidRPr="009A6D16" w:rsidTr="009A6D16">
        <w:trPr>
          <w:trHeight w:val="144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6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8097,00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3.4</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4.                                       Оплата потребленного газа на городском мемориальном комплексе </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38,30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28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2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tcBorders>
              <w:top w:val="single" w:sz="4" w:space="0" w:color="auto"/>
              <w:left w:val="nil"/>
              <w:bottom w:val="nil"/>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3" w:type="dxa"/>
            <w:tcBorders>
              <w:top w:val="nil"/>
              <w:left w:val="single" w:sz="4" w:space="0" w:color="auto"/>
              <w:bottom w:val="nil"/>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34" w:type="dxa"/>
            <w:tcBorders>
              <w:top w:val="nil"/>
              <w:left w:val="single" w:sz="4" w:space="0" w:color="auto"/>
              <w:bottom w:val="nil"/>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Оплата газа</w:t>
            </w:r>
          </w:p>
        </w:tc>
      </w:tr>
      <w:tr w:rsidR="009A6D16" w:rsidRPr="009A6D16" w:rsidTr="009A6D16">
        <w:trPr>
          <w:trHeight w:val="141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28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2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38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3.5</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8898,00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124623,40</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31976,70</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20382,10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22235,10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24088,20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25941,30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Устройство и содержание</w:t>
            </w:r>
          </w:p>
        </w:tc>
      </w:tr>
      <w:tr w:rsidR="009A6D16" w:rsidRPr="009A6D16" w:rsidTr="009A6D16">
        <w:trPr>
          <w:trHeight w:val="1380"/>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3.6</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6. Борьба с борщевиком</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городского округа Электросталь Московской </w:t>
            </w:r>
            <w:r w:rsidRPr="009A6D16">
              <w:rPr>
                <w:rFonts w:cs="Times New Roman"/>
                <w:color w:val="000000"/>
                <w:sz w:val="20"/>
                <w:szCs w:val="20"/>
              </w:rPr>
              <w:lastRenderedPageBreak/>
              <w:t>области</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0,00</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1250,00</w:t>
            </w:r>
          </w:p>
        </w:tc>
        <w:tc>
          <w:tcPr>
            <w:tcW w:w="1287"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123"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Уничтожение борщевика</w:t>
            </w:r>
          </w:p>
        </w:tc>
      </w:tr>
      <w:tr w:rsidR="009A6D16" w:rsidRPr="009A6D16" w:rsidTr="009A6D16">
        <w:trPr>
          <w:trHeight w:val="276"/>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7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3.7</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7. Приоритетный проект "Качели в каждый двор"</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48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2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92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273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3.9</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336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3.10</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 г.о. Электросталь</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8500,00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8500,00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43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3.11</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w:t>
            </w:r>
            <w:r w:rsidRPr="009A6D16">
              <w:rPr>
                <w:rFonts w:cs="Times New Roman"/>
                <w:color w:val="000000"/>
                <w:sz w:val="20"/>
                <w:szCs w:val="20"/>
              </w:rPr>
              <w:lastRenderedPageBreak/>
              <w:t>комплексного благоустройства</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35,04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35,04</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126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7,04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7,04</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6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28,00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28,00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4</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16858,99</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и уход за зелеными насаждениями</w:t>
            </w:r>
          </w:p>
        </w:tc>
      </w:tr>
      <w:tr w:rsidR="009A6D16" w:rsidRPr="009A6D16" w:rsidTr="009A6D16">
        <w:trPr>
          <w:trHeight w:val="975"/>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2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75"/>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4.1</w:t>
            </w:r>
          </w:p>
        </w:tc>
        <w:tc>
          <w:tcPr>
            <w:tcW w:w="1550"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814"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16858,99</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и уход за зелеными насаждениями</w:t>
            </w:r>
          </w:p>
        </w:tc>
      </w:tr>
      <w:tr w:rsidR="009A6D16" w:rsidRPr="009A6D16" w:rsidTr="009A6D16">
        <w:trPr>
          <w:trHeight w:val="181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Основное мероприятие 5.               Содержание мест  массового отдыха населения городского </w:t>
            </w:r>
            <w:r w:rsidRPr="009A6D16">
              <w:rPr>
                <w:rFonts w:cs="Times New Roman"/>
                <w:color w:val="000000"/>
                <w:sz w:val="20"/>
                <w:szCs w:val="20"/>
              </w:rPr>
              <w:lastRenderedPageBreak/>
              <w:t>округа</w:t>
            </w:r>
          </w:p>
        </w:tc>
        <w:tc>
          <w:tcPr>
            <w:tcW w:w="8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Содержание мест  массового отдыха населения </w:t>
            </w:r>
          </w:p>
        </w:tc>
      </w:tr>
      <w:tr w:rsidR="009A6D16" w:rsidRPr="009A6D16" w:rsidTr="009A6D16">
        <w:trPr>
          <w:trHeight w:val="157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городского округа Электросталь Московской </w:t>
            </w:r>
            <w:r w:rsidRPr="009A6D16">
              <w:rPr>
                <w:rFonts w:cs="Times New Roman"/>
                <w:color w:val="000000"/>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63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5.1</w:t>
            </w:r>
          </w:p>
        </w:tc>
        <w:tc>
          <w:tcPr>
            <w:tcW w:w="1550"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1.                            Содержание  водоемов </w:t>
            </w:r>
          </w:p>
        </w:tc>
        <w:tc>
          <w:tcPr>
            <w:tcW w:w="814"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ОЖИ УГЖКХ  </w:t>
            </w:r>
          </w:p>
        </w:tc>
        <w:tc>
          <w:tcPr>
            <w:tcW w:w="1353"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водоемов "Южный","Лазурный", "Юбилейный"</w:t>
            </w:r>
          </w:p>
        </w:tc>
      </w:tr>
      <w:tr w:rsidR="009A6D16" w:rsidRPr="009A6D16" w:rsidTr="009A6D16">
        <w:trPr>
          <w:trHeight w:val="1365"/>
        </w:trPr>
        <w:tc>
          <w:tcPr>
            <w:tcW w:w="608"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6</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6.                                 Обновление и увеличение парка техники</w:t>
            </w:r>
          </w:p>
        </w:tc>
        <w:tc>
          <w:tcPr>
            <w:tcW w:w="814"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24686,42</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24686,42</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ОЖИ УГЖКХ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Покупка техники</w:t>
            </w:r>
          </w:p>
        </w:tc>
      </w:tr>
      <w:tr w:rsidR="009A6D16" w:rsidRPr="009A6D16" w:rsidTr="009A6D16">
        <w:trPr>
          <w:trHeight w:val="322"/>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26270,00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2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1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9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22"/>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26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8159,89</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10657,42</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10657,42</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6.1</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Приобретение техники для нужд </w:t>
            </w:r>
            <w:r w:rsidRPr="009A6D16">
              <w:rPr>
                <w:rFonts w:cs="Times New Roman"/>
                <w:color w:val="000000"/>
                <w:sz w:val="20"/>
                <w:szCs w:val="20"/>
              </w:rPr>
              <w:lastRenderedPageBreak/>
              <w:t>благоустройства</w:t>
            </w:r>
          </w:p>
        </w:tc>
        <w:tc>
          <w:tcPr>
            <w:tcW w:w="8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34429,89</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17558,42</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17558,42</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353" w:type="dxa"/>
            <w:tcBorders>
              <w:top w:val="nil"/>
              <w:left w:val="single" w:sz="4" w:space="0" w:color="auto"/>
              <w:bottom w:val="nil"/>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63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26270,00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353" w:type="dxa"/>
            <w:tcBorders>
              <w:top w:val="nil"/>
              <w:left w:val="single" w:sz="4" w:space="0" w:color="auto"/>
              <w:bottom w:val="nil"/>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126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8159,89</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3529,42</w:t>
            </w:r>
          </w:p>
        </w:tc>
        <w:tc>
          <w:tcPr>
            <w:tcW w:w="128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3529,42</w:t>
            </w:r>
          </w:p>
        </w:tc>
        <w:tc>
          <w:tcPr>
            <w:tcW w:w="112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353" w:type="dxa"/>
            <w:tcBorders>
              <w:top w:val="nil"/>
              <w:left w:val="single" w:sz="4" w:space="0" w:color="auto"/>
              <w:bottom w:val="nil"/>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08"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lastRenderedPageBreak/>
              <w:t>6.2</w:t>
            </w:r>
          </w:p>
        </w:tc>
        <w:tc>
          <w:tcPr>
            <w:tcW w:w="1550"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Приобретение транспортных средств для нужд муниципальных учреждений</w:t>
            </w:r>
          </w:p>
        </w:tc>
        <w:tc>
          <w:tcPr>
            <w:tcW w:w="8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12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ascii="Calibri" w:hAnsi="Calibri" w:cs="Times New Roman"/>
                <w:color w:val="000000"/>
                <w:sz w:val="20"/>
                <w:szCs w:val="20"/>
              </w:rPr>
            </w:pPr>
            <w:r w:rsidRPr="009A6D16">
              <w:rPr>
                <w:rFonts w:ascii="Calibri" w:hAnsi="Calibri" w:cs="Times New Roman"/>
                <w:color w:val="000000"/>
                <w:sz w:val="20"/>
                <w:szCs w:val="20"/>
              </w:rPr>
              <w:t> </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A6D16" w:rsidRPr="009A6D16" w:rsidRDefault="009A6D16" w:rsidP="009A6D16">
            <w:pPr>
              <w:jc w:val="center"/>
              <w:rPr>
                <w:rFonts w:ascii="Calibri" w:hAnsi="Calibri" w:cs="Times New Roman"/>
                <w:color w:val="000000"/>
                <w:sz w:val="20"/>
                <w:szCs w:val="20"/>
              </w:rPr>
            </w:pPr>
            <w:r w:rsidRPr="009A6D16">
              <w:rPr>
                <w:rFonts w:ascii="Calibri" w:hAnsi="Calibri" w:cs="Times New Roman"/>
                <w:color w:val="000000"/>
                <w:sz w:val="20"/>
                <w:szCs w:val="20"/>
              </w:rPr>
              <w:t> </w:t>
            </w:r>
          </w:p>
        </w:tc>
      </w:tr>
      <w:tr w:rsidR="009A6D16" w:rsidRPr="009A6D16" w:rsidTr="009A6D16">
        <w:trPr>
          <w:trHeight w:val="126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28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12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по Подпрограмме</w:t>
            </w:r>
          </w:p>
        </w:tc>
        <w:tc>
          <w:tcPr>
            <w:tcW w:w="2090" w:type="dxa"/>
            <w:gridSpan w:val="2"/>
            <w:tcBorders>
              <w:top w:val="single" w:sz="4" w:space="0" w:color="auto"/>
              <w:left w:val="nil"/>
              <w:bottom w:val="single" w:sz="4" w:space="0" w:color="auto"/>
              <w:right w:val="single" w:sz="4" w:space="0" w:color="000000"/>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534086,81</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334664,56</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46900,50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48627,40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53587,91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000000"/>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Средства бюджета городского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442741,37</w:t>
            </w:r>
          </w:p>
        </w:tc>
        <w:tc>
          <w:tcPr>
            <w:tcW w:w="128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248717,12</w:t>
            </w:r>
          </w:p>
        </w:tc>
        <w:tc>
          <w:tcPr>
            <w:tcW w:w="112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44201,50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45928,40</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50306,44</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53587,91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 xml:space="preserve">Средства бюджета Московской области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64512,06</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59114,06</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000000"/>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Средства федерального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26833,38</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Внебюджетные источники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bl>
    <w:p w:rsidR="00494AB9" w:rsidRDefault="00494AB9" w:rsidP="00C217F3">
      <w:pPr>
        <w:spacing w:line="240" w:lineRule="exact"/>
        <w:rPr>
          <w:rFonts w:cs="Times New Roman"/>
          <w:color w:val="000000"/>
          <w:sz w:val="20"/>
          <w:szCs w:val="20"/>
        </w:rPr>
      </w:pPr>
    </w:p>
    <w:tbl>
      <w:tblPr>
        <w:tblW w:w="15139" w:type="dxa"/>
        <w:jc w:val="center"/>
        <w:tblLook w:val="04A0" w:firstRow="1" w:lastRow="0" w:firstColumn="1" w:lastColumn="0" w:noHBand="0" w:noVBand="1"/>
      </w:tblPr>
      <w:tblGrid>
        <w:gridCol w:w="2855"/>
        <w:gridCol w:w="1773"/>
        <w:gridCol w:w="1997"/>
        <w:gridCol w:w="1343"/>
        <w:gridCol w:w="1343"/>
        <w:gridCol w:w="1213"/>
        <w:gridCol w:w="1213"/>
        <w:gridCol w:w="330"/>
        <w:gridCol w:w="826"/>
        <w:gridCol w:w="2024"/>
        <w:gridCol w:w="222"/>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360AF0" w:rsidRDefault="00360AF0" w:rsidP="003B0286">
            <w:pPr>
              <w:rPr>
                <w:rFonts w:cs="Times New Roman"/>
                <w:color w:val="000000"/>
                <w:sz w:val="20"/>
                <w:szCs w:val="20"/>
              </w:rPr>
            </w:pPr>
          </w:p>
          <w:p w:rsidR="00360AF0" w:rsidRDefault="00360AF0"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lastRenderedPageBreak/>
              <w:t>Приложение</w:t>
            </w:r>
            <w:r>
              <w:rPr>
                <w:rFonts w:cs="Times New Roman"/>
                <w:color w:val="000000"/>
                <w:sz w:val="20"/>
                <w:szCs w:val="20"/>
              </w:rPr>
              <w:t xml:space="preserve"> </w:t>
            </w:r>
            <w:r w:rsidRPr="00616928">
              <w:rPr>
                <w:rFonts w:cs="Times New Roman"/>
                <w:color w:val="000000"/>
                <w:sz w:val="20"/>
                <w:szCs w:val="20"/>
              </w:rPr>
              <w:t>№2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360AF0" w:rsidRPr="00616928" w:rsidRDefault="00360AF0" w:rsidP="00616928">
            <w:pPr>
              <w:ind w:left="-349"/>
              <w:jc w:val="right"/>
              <w:rPr>
                <w:rFonts w:cs="Times New Roman"/>
                <w:color w:val="000000"/>
                <w:sz w:val="20"/>
                <w:szCs w:val="20"/>
              </w:rPr>
            </w:pPr>
            <w:r w:rsidRPr="00616928">
              <w:rPr>
                <w:rFonts w:cs="Times New Roman"/>
                <w:color w:val="000000"/>
                <w:sz w:val="20"/>
                <w:szCs w:val="20"/>
              </w:rPr>
              <w:t>к Муниципальной 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9A6D16"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A6D16" w:rsidRPr="00616928" w:rsidRDefault="009A6D16" w:rsidP="009A6D16">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A6D16" w:rsidRDefault="009A6D16" w:rsidP="009A6D16">
            <w:pPr>
              <w:jc w:val="center"/>
              <w:rPr>
                <w:rFonts w:cs="Times New Roman"/>
                <w:color w:val="000000"/>
              </w:rPr>
            </w:pPr>
            <w:r>
              <w:rPr>
                <w:color w:val="000000"/>
              </w:rPr>
              <w:t>420769,62</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178792,80</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9A6D16" w:rsidRPr="00616928" w:rsidRDefault="009A6D16" w:rsidP="009A6D16">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317179,98</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75203,16</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lastRenderedPageBreak/>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lastRenderedPageBreak/>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021" w:type="dxa"/>
        <w:tblInd w:w="113" w:type="dxa"/>
        <w:tblLayout w:type="fixed"/>
        <w:tblLook w:val="04A0" w:firstRow="1" w:lastRow="0" w:firstColumn="1" w:lastColumn="0" w:noHBand="0" w:noVBand="1"/>
      </w:tblPr>
      <w:tblGrid>
        <w:gridCol w:w="611"/>
        <w:gridCol w:w="1664"/>
        <w:gridCol w:w="1158"/>
        <w:gridCol w:w="1428"/>
        <w:gridCol w:w="1230"/>
        <w:gridCol w:w="1226"/>
        <w:gridCol w:w="1183"/>
        <w:gridCol w:w="993"/>
        <w:gridCol w:w="992"/>
        <w:gridCol w:w="992"/>
        <w:gridCol w:w="992"/>
        <w:gridCol w:w="993"/>
        <w:gridCol w:w="1559"/>
      </w:tblGrid>
      <w:tr w:rsidR="009A6D16" w:rsidRPr="009A6D16" w:rsidTr="009A6D16">
        <w:trPr>
          <w:trHeight w:val="420"/>
        </w:trPr>
        <w:tc>
          <w:tcPr>
            <w:tcW w:w="6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N п/п</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Мероприятия по реализации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Срок исполнения мероприятия</w:t>
            </w:r>
          </w:p>
        </w:tc>
        <w:tc>
          <w:tcPr>
            <w:tcW w:w="1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Источники финансирования</w:t>
            </w:r>
          </w:p>
        </w:tc>
        <w:tc>
          <w:tcPr>
            <w:tcW w:w="1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(тыс. руб.)</w:t>
            </w:r>
          </w:p>
        </w:tc>
        <w:tc>
          <w:tcPr>
            <w:tcW w:w="515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Результаты выполнения мероприятий подпрограммы</w:t>
            </w:r>
          </w:p>
        </w:tc>
      </w:tr>
      <w:tr w:rsidR="009A6D16" w:rsidRPr="009A6D16" w:rsidTr="009A6D16">
        <w:trPr>
          <w:trHeight w:val="303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11" w:type="dxa"/>
            <w:tcBorders>
              <w:top w:val="nil"/>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w:t>
            </w:r>
          </w:p>
        </w:tc>
        <w:tc>
          <w:tcPr>
            <w:tcW w:w="166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w:t>
            </w:r>
          </w:p>
        </w:tc>
        <w:tc>
          <w:tcPr>
            <w:tcW w:w="1428"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w:t>
            </w:r>
          </w:p>
        </w:tc>
        <w:tc>
          <w:tcPr>
            <w:tcW w:w="1559"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w:t>
            </w:r>
          </w:p>
        </w:tc>
      </w:tr>
      <w:tr w:rsidR="009A6D16" w:rsidRPr="009A6D16" w:rsidTr="009A6D16">
        <w:trPr>
          <w:trHeight w:val="175"/>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266094,56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291079,98</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49103,16</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66967,31</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Повышение энергетической эффективности систем наружного освещения</w:t>
            </w:r>
          </w:p>
        </w:tc>
      </w:tr>
      <w:tr w:rsidR="009A6D16" w:rsidRPr="009A6D16" w:rsidTr="009A6D16">
        <w:trPr>
          <w:trHeight w:val="1601"/>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266094,56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291079,98</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49103,16</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66967,31</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0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8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6"/>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w:t>
            </w:r>
            <w:r w:rsidRPr="009A6D16">
              <w:rPr>
                <w:rFonts w:cs="Times New Roman"/>
                <w:color w:val="000000"/>
                <w:sz w:val="20"/>
                <w:szCs w:val="20"/>
              </w:rPr>
              <w:lastRenderedPageBreak/>
              <w:t>Содержание и ремонт объектов наружного освещения</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7622,86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87592,96</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14592,96</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16060,00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20440,00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xml:space="preserve">ОКИ </w:t>
            </w:r>
            <w:r w:rsidRPr="009A6D16">
              <w:rPr>
                <w:rFonts w:cs="Times New Roman"/>
                <w:color w:val="000000"/>
                <w:sz w:val="20"/>
                <w:szCs w:val="20"/>
              </w:rPr>
              <w:lastRenderedPageBreak/>
              <w:t>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lastRenderedPageBreak/>
              <w:t xml:space="preserve">Содержание и </w:t>
            </w:r>
            <w:r w:rsidRPr="009A6D16">
              <w:rPr>
                <w:rFonts w:cs="Times New Roman"/>
                <w:color w:val="000000"/>
                <w:sz w:val="20"/>
                <w:szCs w:val="20"/>
              </w:rPr>
              <w:lastRenderedPageBreak/>
              <w:t>ремонт объектов наружного освещения</w:t>
            </w:r>
          </w:p>
        </w:tc>
      </w:tr>
      <w:tr w:rsidR="009A6D16" w:rsidRPr="009A6D16" w:rsidTr="009A6D16">
        <w:trPr>
          <w:trHeight w:val="66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7622,86</w:t>
            </w:r>
          </w:p>
        </w:tc>
        <w:tc>
          <w:tcPr>
            <w:tcW w:w="12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87592,96</w:t>
            </w:r>
          </w:p>
        </w:tc>
        <w:tc>
          <w:tcPr>
            <w:tcW w:w="1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14592,96</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16060,00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18980,00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20440,00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42"/>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33"/>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1.2</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2. Проведение светотехнического обследования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Проведение светотехнического обследования</w:t>
            </w:r>
          </w:p>
        </w:tc>
      </w:tr>
      <w:tr w:rsidR="009A6D16" w:rsidRPr="009A6D16" w:rsidTr="009A6D16">
        <w:trPr>
          <w:trHeight w:val="1259"/>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89"/>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83"/>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1.3</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Плата за потребленную электроэнергию</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244457,73</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171324,12</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31409,40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39975,61</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Плата за потребленную электроэнергию</w:t>
            </w:r>
          </w:p>
        </w:tc>
      </w:tr>
      <w:tr w:rsidR="009A6D16" w:rsidRPr="009A6D16" w:rsidTr="009A6D16">
        <w:trPr>
          <w:trHeight w:val="268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244457,73</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171324,12</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31409,40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39975,61</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0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68"/>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1.4</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w:t>
            </w:r>
            <w:r>
              <w:rPr>
                <w:rFonts w:cs="Times New Roman"/>
                <w:color w:val="000000"/>
                <w:sz w:val="20"/>
                <w:szCs w:val="20"/>
              </w:rPr>
              <w:t>ро</w:t>
            </w:r>
            <w:r w:rsidRPr="009A6D16">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Замена существующих светильников на энергосберегающие</w:t>
            </w:r>
          </w:p>
        </w:tc>
      </w:tr>
      <w:tr w:rsidR="009A6D16" w:rsidRPr="009A6D16" w:rsidTr="009A6D16">
        <w:trPr>
          <w:trHeight w:val="1547"/>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9A6D16">
              <w:rPr>
                <w:rFonts w:cs="Times New Roman"/>
                <w:color w:val="000000"/>
                <w:sz w:val="20"/>
                <w:szCs w:val="20"/>
              </w:rPr>
              <w:t>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6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37"/>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5.</w:t>
            </w:r>
            <w:r w:rsidRPr="009A6D16">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9A6D16">
              <w:rPr>
                <w:rFonts w:cs="Times New Roman"/>
                <w:color w:val="000000"/>
                <w:sz w:val="20"/>
                <w:szCs w:val="20"/>
              </w:rPr>
              <w:t xml:space="preserve"> на территории городского округа </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13913,97</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32162,90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5956,10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Строительство новых сетей наружного освещени</w:t>
            </w:r>
          </w:p>
        </w:tc>
      </w:tr>
      <w:tr w:rsidR="009A6D16" w:rsidRPr="009A6D16" w:rsidTr="009A6D16">
        <w:trPr>
          <w:trHeight w:val="130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городского округа </w:t>
            </w:r>
            <w:r>
              <w:rPr>
                <w:rFonts w:cs="Times New Roman"/>
                <w:color w:val="000000"/>
                <w:sz w:val="20"/>
                <w:szCs w:val="20"/>
              </w:rPr>
              <w:t xml:space="preserve">Электросталь </w:t>
            </w:r>
            <w:r w:rsidRPr="009A6D16">
              <w:rPr>
                <w:rFonts w:cs="Times New Roman"/>
                <w:color w:val="000000"/>
                <w:sz w:val="20"/>
                <w:szCs w:val="20"/>
              </w:rPr>
              <w:t>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13913,97</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32162,90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5956,10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6"/>
        </w:trPr>
        <w:tc>
          <w:tcPr>
            <w:tcW w:w="611"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w:t>
            </w:r>
          </w:p>
        </w:tc>
        <w:tc>
          <w:tcPr>
            <w:tcW w:w="166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Основное мероприятие 2.               Формирование комфортной </w:t>
            </w:r>
            <w:r w:rsidRPr="009A6D16">
              <w:rPr>
                <w:rFonts w:cs="Times New Roman"/>
                <w:color w:val="000000"/>
                <w:sz w:val="20"/>
                <w:szCs w:val="20"/>
              </w:rPr>
              <w:lastRenderedPageBreak/>
              <w:t>городской световой среды на территории городского округа Электросталь Московской области</w:t>
            </w:r>
          </w:p>
        </w:tc>
        <w:tc>
          <w:tcPr>
            <w:tcW w:w="1158"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vMerge w:val="restart"/>
            <w:tcBorders>
              <w:top w:val="single" w:sz="4" w:space="0" w:color="auto"/>
              <w:left w:val="single" w:sz="4" w:space="0" w:color="auto"/>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33682,00</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129689,64</w:t>
            </w:r>
          </w:p>
        </w:tc>
        <w:tc>
          <w:tcPr>
            <w:tcW w:w="118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129689,64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Устройство электросетевого хозяйства, систем </w:t>
            </w:r>
            <w:r w:rsidRPr="009A6D16">
              <w:rPr>
                <w:rFonts w:cs="Times New Roman"/>
                <w:color w:val="000000"/>
                <w:sz w:val="20"/>
                <w:szCs w:val="20"/>
              </w:rPr>
              <w:lastRenderedPageBreak/>
              <w:t>наружного освещения, Устройство и капитальный ремонт архитектурно-художественной подсветки</w:t>
            </w:r>
          </w:p>
        </w:tc>
      </w:tr>
      <w:tr w:rsidR="009A6D16" w:rsidRPr="009A6D16" w:rsidTr="009A6D16">
        <w:trPr>
          <w:trHeight w:val="70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округа </w:t>
            </w:r>
            <w:r w:rsidRPr="009A6D16">
              <w:rPr>
                <w:rFonts w:cs="Times New Roman"/>
                <w:color w:val="000000"/>
                <w:sz w:val="20"/>
                <w:szCs w:val="20"/>
              </w:rPr>
              <w:lastRenderedPageBreak/>
              <w:t>Электросталь Московской области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26100,00</w:t>
            </w:r>
          </w:p>
        </w:tc>
        <w:tc>
          <w:tcPr>
            <w:tcW w:w="1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26100,00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410"/>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50"/>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1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281"/>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1.Устройство электросетевого хозяйства, систем наружного освещения в рамках реализации проекта "Светлый город"</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FFFFFF"/>
                <w:sz w:val="20"/>
                <w:szCs w:val="20"/>
              </w:rPr>
            </w:pPr>
            <w:r w:rsidRPr="009A6D16">
              <w:rPr>
                <w:rFonts w:cs="Times New Roman"/>
                <w:color w:val="FFFFFF"/>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9104,10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9104,10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9A6D16" w:rsidRPr="009A6D16" w:rsidTr="009A6D16">
        <w:trPr>
          <w:trHeight w:val="12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1829,10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1829,10</w:t>
            </w:r>
          </w:p>
        </w:tc>
        <w:tc>
          <w:tcPr>
            <w:tcW w:w="99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114"/>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7275,00</w:t>
            </w:r>
          </w:p>
        </w:tc>
        <w:tc>
          <w:tcPr>
            <w:tcW w:w="118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7275,00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38"/>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71"/>
        </w:trPr>
        <w:tc>
          <w:tcPr>
            <w:tcW w:w="611"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2.2</w:t>
            </w:r>
          </w:p>
        </w:tc>
        <w:tc>
          <w:tcPr>
            <w:tcW w:w="166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2.                            </w:t>
            </w:r>
            <w:r w:rsidRPr="009A6D16">
              <w:rPr>
                <w:rFonts w:cs="Times New Roman"/>
                <w:color w:val="000000"/>
                <w:sz w:val="20"/>
                <w:szCs w:val="20"/>
              </w:rPr>
              <w:lastRenderedPageBreak/>
              <w:t xml:space="preserve">Устройство и капитальный ремонт архитектурно-художественной подсветки в рамках проекта "Светлый город" </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lastRenderedPageBreak/>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90895,90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90895,90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ОКИ </w:t>
            </w:r>
            <w:r w:rsidRPr="009A6D16">
              <w:rPr>
                <w:rFonts w:cs="Times New Roman"/>
                <w:color w:val="000000"/>
                <w:sz w:val="20"/>
                <w:szCs w:val="20"/>
              </w:rPr>
              <w:lastRenderedPageBreak/>
              <w:t>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lastRenderedPageBreak/>
              <w:t xml:space="preserve">пр-т Ленина </w:t>
            </w:r>
            <w:r w:rsidRPr="009A6D16">
              <w:rPr>
                <w:rFonts w:cs="Times New Roman"/>
                <w:color w:val="000000"/>
                <w:sz w:val="20"/>
                <w:szCs w:val="20"/>
              </w:rPr>
              <w:lastRenderedPageBreak/>
              <w:t>д.26, пр-т Ленина д.28, пр-т Ленина д.32а КЦ "Октябрь", пр-т Ленина д.41, пр-т Ленина 44/14, пр-т Ленина 47/12,  ул. Радио, д3 "ЛДС"</w:t>
            </w:r>
            <w:r>
              <w:rPr>
                <w:rFonts w:cs="Times New Roman"/>
                <w:color w:val="000000"/>
                <w:sz w:val="20"/>
                <w:szCs w:val="20"/>
              </w:rPr>
              <w:t xml:space="preserve"> </w:t>
            </w:r>
            <w:r w:rsidRPr="009A6D16">
              <w:rPr>
                <w:rFonts w:cs="Times New Roman"/>
                <w:color w:val="000000"/>
                <w:sz w:val="20"/>
                <w:szCs w:val="20"/>
              </w:rPr>
              <w:t>Кристалл"</w:t>
            </w:r>
          </w:p>
        </w:tc>
      </w:tr>
      <w:tr w:rsidR="009A6D16" w:rsidRPr="009A6D16" w:rsidTr="009A6D16">
        <w:trPr>
          <w:trHeight w:val="103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230"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18270,90</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18270,90</w:t>
            </w:r>
          </w:p>
        </w:tc>
        <w:tc>
          <w:tcPr>
            <w:tcW w:w="99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3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72625,00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72625,00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66"/>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410"/>
        </w:trPr>
        <w:tc>
          <w:tcPr>
            <w:tcW w:w="611" w:type="dxa"/>
            <w:tcBorders>
              <w:top w:val="single" w:sz="4" w:space="0" w:color="auto"/>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2.3</w:t>
            </w:r>
          </w:p>
        </w:tc>
        <w:tc>
          <w:tcPr>
            <w:tcW w:w="1664"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Кредиторская задолженность по проекту "Светлый город" за 2017 год</w:t>
            </w:r>
          </w:p>
        </w:tc>
        <w:tc>
          <w:tcPr>
            <w:tcW w:w="1158" w:type="dxa"/>
            <w:tcBorders>
              <w:top w:val="nil"/>
              <w:left w:val="nil"/>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23689,64</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23689,64</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1410"/>
        </w:trPr>
        <w:tc>
          <w:tcPr>
            <w:tcW w:w="611" w:type="dxa"/>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2.4</w:t>
            </w:r>
          </w:p>
        </w:tc>
        <w:tc>
          <w:tcPr>
            <w:tcW w:w="1664"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4.</w:t>
            </w:r>
            <w:r>
              <w:rPr>
                <w:rFonts w:cs="Times New Roman"/>
                <w:color w:val="000000"/>
                <w:sz w:val="20"/>
                <w:szCs w:val="20"/>
              </w:rPr>
              <w:t xml:space="preserve"> </w:t>
            </w:r>
            <w:r w:rsidR="004F2E3A">
              <w:rPr>
                <w:rFonts w:cs="Times New Roman"/>
                <w:color w:val="000000"/>
                <w:sz w:val="20"/>
                <w:szCs w:val="20"/>
              </w:rPr>
              <w:t xml:space="preserve">Разработка </w:t>
            </w:r>
            <w:r w:rsidRPr="009A6D16">
              <w:rPr>
                <w:rFonts w:cs="Times New Roman"/>
                <w:color w:val="000000"/>
                <w:sz w:val="20"/>
                <w:szCs w:val="20"/>
              </w:rPr>
              <w:t>проектно-сметной документации к проекту "светлый город"</w:t>
            </w:r>
          </w:p>
        </w:tc>
        <w:tc>
          <w:tcPr>
            <w:tcW w:w="1158" w:type="dxa"/>
            <w:tcBorders>
              <w:top w:val="nil"/>
              <w:left w:val="nil"/>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6000,00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6000,00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nil"/>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по Подпрограмме</w:t>
            </w:r>
          </w:p>
        </w:tc>
        <w:tc>
          <w:tcPr>
            <w:tcW w:w="2586" w:type="dxa"/>
            <w:gridSpan w:val="2"/>
            <w:tcBorders>
              <w:top w:val="single" w:sz="4" w:space="0" w:color="auto"/>
              <w:left w:val="nil"/>
              <w:bottom w:val="single" w:sz="4" w:space="0" w:color="auto"/>
              <w:right w:val="single" w:sz="4" w:space="0" w:color="000000"/>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Итого:</w:t>
            </w:r>
          </w:p>
        </w:tc>
        <w:tc>
          <w:tcPr>
            <w:tcW w:w="12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420769,62</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178792,80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54021,10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66967,31</w:t>
            </w:r>
          </w:p>
        </w:tc>
        <w:tc>
          <w:tcPr>
            <w:tcW w:w="993" w:type="dxa"/>
            <w:tcBorders>
              <w:top w:val="single" w:sz="4" w:space="0" w:color="auto"/>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single" w:sz="4" w:space="0" w:color="auto"/>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000000"/>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Средства бюджета городского округа Электросталь Московской области</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317179,98</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75203,16</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66967,31</w:t>
            </w:r>
          </w:p>
        </w:tc>
        <w:tc>
          <w:tcPr>
            <w:tcW w:w="993" w:type="dxa"/>
            <w:tcBorders>
              <w:top w:val="nil"/>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 xml:space="preserve">Средства бюджета Московской области </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103589,64</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nil"/>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Внебюджетные источники</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nil"/>
              <w:left w:val="nil"/>
              <w:bottom w:val="single" w:sz="4" w:space="0" w:color="auto"/>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4F2E3A" w:rsidRPr="00240280" w:rsidRDefault="004F2E3A" w:rsidP="004F2E3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rFonts w:cs="Times New Roman"/>
                <w:color w:val="000000"/>
                <w:sz w:val="20"/>
                <w:szCs w:val="20"/>
              </w:rPr>
            </w:pPr>
            <w:r w:rsidRPr="004F2E3A">
              <w:rPr>
                <w:color w:val="000000"/>
                <w:sz w:val="20"/>
                <w:szCs w:val="20"/>
              </w:rPr>
              <w:t>159 902,39</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135 702,39</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6 650,00</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118 160,33</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93 960,33</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6 650,00</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r>
      <w:tr w:rsidR="004F2E3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lastRenderedPageBreak/>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софинансированием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lastRenderedPageBreak/>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0" w:type="auto"/>
        <w:tblInd w:w="113" w:type="dxa"/>
        <w:tblLayout w:type="fixed"/>
        <w:tblLook w:val="04A0" w:firstRow="1" w:lastRow="0" w:firstColumn="1" w:lastColumn="0" w:noHBand="0" w:noVBand="1"/>
      </w:tblPr>
      <w:tblGrid>
        <w:gridCol w:w="623"/>
        <w:gridCol w:w="1700"/>
        <w:gridCol w:w="1184"/>
        <w:gridCol w:w="1166"/>
        <w:gridCol w:w="1134"/>
        <w:gridCol w:w="1276"/>
        <w:gridCol w:w="1134"/>
        <w:gridCol w:w="1006"/>
        <w:gridCol w:w="978"/>
        <w:gridCol w:w="993"/>
        <w:gridCol w:w="992"/>
        <w:gridCol w:w="1134"/>
        <w:gridCol w:w="1353"/>
      </w:tblGrid>
      <w:tr w:rsidR="004F2E3A" w:rsidRPr="004F2E3A" w:rsidTr="004F2E3A">
        <w:trPr>
          <w:trHeight w:val="300"/>
        </w:trPr>
        <w:tc>
          <w:tcPr>
            <w:tcW w:w="62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N п/п</w:t>
            </w:r>
          </w:p>
        </w:tc>
        <w:tc>
          <w:tcPr>
            <w:tcW w:w="17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Мероприятия по реализации подпрограммы</w:t>
            </w:r>
          </w:p>
        </w:tc>
        <w:tc>
          <w:tcPr>
            <w:tcW w:w="11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Сроки исполнения мероприятия</w:t>
            </w:r>
          </w:p>
        </w:tc>
        <w:tc>
          <w:tcPr>
            <w:tcW w:w="11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Результаты выполнения мероприятий подпрограммы</w:t>
            </w:r>
          </w:p>
        </w:tc>
      </w:tr>
      <w:tr w:rsidR="004F2E3A" w:rsidRPr="004F2E3A" w:rsidTr="004F2E3A">
        <w:trPr>
          <w:trHeight w:val="2550"/>
        </w:trPr>
        <w:tc>
          <w:tcPr>
            <w:tcW w:w="62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 год</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xml:space="preserve">2019 год </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2020 год</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15"/>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w:t>
            </w:r>
          </w:p>
        </w:tc>
        <w:tc>
          <w:tcPr>
            <w:tcW w:w="118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w:t>
            </w:r>
          </w:p>
        </w:tc>
        <w:tc>
          <w:tcPr>
            <w:tcW w:w="116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12</w:t>
            </w:r>
          </w:p>
        </w:tc>
        <w:tc>
          <w:tcPr>
            <w:tcW w:w="135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13</w:t>
            </w:r>
          </w:p>
        </w:tc>
      </w:tr>
      <w:tr w:rsidR="004F2E3A" w:rsidRPr="004F2E3A" w:rsidTr="004F2E3A">
        <w:trPr>
          <w:trHeight w:val="450"/>
        </w:trPr>
        <w:tc>
          <w:tcPr>
            <w:tcW w:w="623"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1</w:t>
            </w:r>
          </w:p>
        </w:tc>
        <w:tc>
          <w:tcPr>
            <w:tcW w:w="1700" w:type="dxa"/>
            <w:vMerge w:val="restart"/>
            <w:tcBorders>
              <w:top w:val="nil"/>
              <w:left w:val="single" w:sz="4" w:space="0" w:color="auto"/>
              <w:bottom w:val="nil"/>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Основное мероприятие 1. Приведение в надлежащее состояние подъездов МКД</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Приведение в надлежащее состояние подъездов МКД</w:t>
            </w:r>
          </w:p>
        </w:tc>
      </w:tr>
      <w:tr w:rsidR="004F2E3A" w:rsidRPr="004F2E3A" w:rsidTr="004F2E3A">
        <w:trPr>
          <w:trHeight w:val="1350"/>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95"/>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41 742,06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41 742,06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96"/>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90"/>
        </w:trPr>
        <w:tc>
          <w:tcPr>
            <w:tcW w:w="623"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1.1</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1. Ремонт подъездов многоквартирных домов</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Ремонт подъездов МКД</w:t>
            </w:r>
          </w:p>
        </w:tc>
      </w:tr>
      <w:tr w:rsidR="004F2E3A" w:rsidRPr="004F2E3A" w:rsidTr="004F2E3A">
        <w:trPr>
          <w:trHeight w:val="1425"/>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 xml:space="preserve">Средства бюджета городского округа Электросталь </w:t>
            </w:r>
            <w:r w:rsidRPr="004F2E3A">
              <w:rPr>
                <w:rFonts w:cs="Times New Roman"/>
                <w:color w:val="000000"/>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lastRenderedPageBreak/>
              <w:t>17 671,00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90"/>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41 742,06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41 742,06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75"/>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05"/>
        </w:trPr>
        <w:tc>
          <w:tcPr>
            <w:tcW w:w="623" w:type="dxa"/>
            <w:vMerge w:val="restart"/>
            <w:tcBorders>
              <w:top w:val="single" w:sz="4" w:space="0" w:color="auto"/>
              <w:left w:val="nil"/>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64 500,00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63 250,00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Создание благоприятных условий для проживания граждан в МКД</w:t>
            </w:r>
          </w:p>
        </w:tc>
      </w:tr>
      <w:tr w:rsidR="004F2E3A" w:rsidRPr="004F2E3A" w:rsidTr="004F2E3A">
        <w:trPr>
          <w:trHeight w:val="1305"/>
        </w:trPr>
        <w:tc>
          <w:tcPr>
            <w:tcW w:w="623" w:type="dxa"/>
            <w:vMerge/>
            <w:tcBorders>
              <w:top w:val="single" w:sz="4" w:space="0" w:color="auto"/>
              <w:left w:val="nil"/>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64 500,00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63 250,00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20"/>
        </w:trPr>
        <w:tc>
          <w:tcPr>
            <w:tcW w:w="623" w:type="dxa"/>
            <w:vMerge/>
            <w:tcBorders>
              <w:top w:val="single" w:sz="4" w:space="0" w:color="auto"/>
              <w:left w:val="nil"/>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59"/>
        </w:trPr>
        <w:tc>
          <w:tcPr>
            <w:tcW w:w="623" w:type="dxa"/>
            <w:vMerge/>
            <w:tcBorders>
              <w:top w:val="single" w:sz="4" w:space="0" w:color="auto"/>
              <w:left w:val="nil"/>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283"/>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2.1</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1. Оказание муницип</w:t>
            </w:r>
            <w:r>
              <w:rPr>
                <w:rFonts w:cs="Times New Roman"/>
                <w:color w:val="000000"/>
                <w:sz w:val="20"/>
                <w:szCs w:val="20"/>
              </w:rPr>
              <w:t xml:space="preserve">альной поддержки по проведению </w:t>
            </w:r>
            <w:r w:rsidRPr="004F2E3A">
              <w:rPr>
                <w:rFonts w:cs="Times New Roman"/>
                <w:color w:val="000000"/>
                <w:sz w:val="20"/>
                <w:szCs w:val="20"/>
              </w:rPr>
              <w:t>капитального ремонта лифтов многоквартирных домах</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Проведение капитального ремонта лифтов МКД</w:t>
            </w:r>
          </w:p>
        </w:tc>
      </w:tr>
      <w:tr w:rsidR="004F2E3A" w:rsidRPr="004F2E3A" w:rsidTr="004F2E3A">
        <w:trPr>
          <w:trHeight w:val="138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88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09"/>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2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Проведение капитального ремонта МКД</w:t>
            </w:r>
          </w:p>
        </w:tc>
      </w:tr>
      <w:tr w:rsidR="004F2E3A" w:rsidRPr="004F2E3A" w:rsidTr="004F2E3A">
        <w:trPr>
          <w:trHeight w:val="154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6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88"/>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3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2.3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3. Капитальный ремонт фасадов многоквартирных домов</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Проведение капитального ремонта фасадов МКД</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07"/>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2.4</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 xml:space="preserve">Мероприятие 4. Выполнение работ по установке пандусов для инвалидов и </w:t>
            </w:r>
            <w:r w:rsidRPr="004F2E3A">
              <w:rPr>
                <w:rFonts w:cs="Times New Roman"/>
                <w:color w:val="000000"/>
                <w:sz w:val="20"/>
                <w:szCs w:val="20"/>
              </w:rPr>
              <w:lastRenderedPageBreak/>
              <w:t>других маломобильных групп населения</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lastRenderedPageBreak/>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Установка пандусов</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w:t>
            </w:r>
            <w:r w:rsidRPr="004F2E3A">
              <w:rPr>
                <w:rFonts w:cs="Times New Roman"/>
                <w:color w:val="000000"/>
                <w:sz w:val="20"/>
                <w:szCs w:val="20"/>
              </w:rPr>
              <w:lastRenderedPageBreak/>
              <w:t>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lastRenderedPageBreak/>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0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5. Ремонт кровли многоквартирных домов.</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54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Основное мероприятие 3.  Ремонт жилых помещений муниципального жилищного фонда</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5400,00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6300,00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Ремонт муниц. жил. Фонда</w:t>
            </w:r>
          </w:p>
        </w:tc>
      </w:tr>
      <w:tr w:rsidR="004F2E3A" w:rsidRPr="004F2E3A" w:rsidTr="004F2E3A">
        <w:trPr>
          <w:trHeight w:val="12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5400,00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7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8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3.1</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 xml:space="preserve">Меропиятие1.  Выполнение работ  по </w:t>
            </w:r>
            <w:r w:rsidRPr="004F2E3A">
              <w:rPr>
                <w:rFonts w:cs="Times New Roman"/>
                <w:color w:val="000000"/>
                <w:sz w:val="20"/>
                <w:szCs w:val="20"/>
              </w:rPr>
              <w:lastRenderedPageBreak/>
              <w:t xml:space="preserve">ремонту жилых помещений муниципального жилищного фонда  </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lastRenderedPageBreak/>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xml:space="preserve">Ремонт жилых помещений </w:t>
            </w:r>
            <w:r w:rsidRPr="004F2E3A">
              <w:rPr>
                <w:rFonts w:cs="Times New Roman"/>
                <w:color w:val="000000"/>
                <w:sz w:val="20"/>
                <w:szCs w:val="20"/>
              </w:rPr>
              <w:lastRenderedPageBreak/>
              <w:t>муниц. жил. Фонда</w:t>
            </w:r>
          </w:p>
        </w:tc>
      </w:tr>
      <w:tr w:rsidR="004F2E3A" w:rsidRPr="004F2E3A" w:rsidTr="004F2E3A">
        <w:trPr>
          <w:trHeight w:val="150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4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1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9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1530,00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1820,00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Замена газоиспользующего оборудования</w:t>
            </w:r>
          </w:p>
        </w:tc>
      </w:tr>
      <w:tr w:rsidR="004F2E3A" w:rsidRPr="004F2E3A" w:rsidTr="004F2E3A">
        <w:trPr>
          <w:trHeight w:val="133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1530,00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1820,00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9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0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6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3.3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 xml:space="preserve">Мероприятие 3. Установка </w:t>
            </w:r>
            <w:r w:rsidRPr="004F2E3A">
              <w:rPr>
                <w:rFonts w:cs="Times New Roman"/>
                <w:color w:val="000000"/>
                <w:sz w:val="20"/>
                <w:szCs w:val="20"/>
              </w:rPr>
              <w:lastRenderedPageBreak/>
              <w:t>индивидуальных приборов учёта коммунальных ресурсов в жилых помещениях муниципального жилищного фонда</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lastRenderedPageBreak/>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870,00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Установка ИПУ</w:t>
            </w:r>
          </w:p>
        </w:tc>
      </w:tr>
      <w:tr w:rsidR="004F2E3A" w:rsidRPr="004F2E3A" w:rsidTr="004F2E3A">
        <w:trPr>
          <w:trHeight w:val="147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870,00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980,00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0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15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80"/>
        </w:trPr>
        <w:tc>
          <w:tcPr>
            <w:tcW w:w="350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Итого по подпрограмме:</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79 275,55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159902,39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135702,39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5700,00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6650,00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1350"/>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22 384,55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118160,33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93960,33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5700,00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6650,00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60"/>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35"/>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современных энергоэффективных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lastRenderedPageBreak/>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5E6676" w:rsidRDefault="00D3058E" w:rsidP="00725A79">
      <w:pPr>
        <w:spacing w:line="240" w:lineRule="exact"/>
        <w:jc w:val="both"/>
        <w:rPr>
          <w:rFonts w:cs="Times New Roman"/>
        </w:rPr>
      </w:pPr>
      <w:r>
        <w:rPr>
          <w:rFonts w:cs="Times New Roman"/>
        </w:rPr>
        <w:t xml:space="preserve">                                                                                                                                                                                                                                               ».</w:t>
      </w:r>
    </w:p>
    <w:p w:rsidR="002673A5" w:rsidRDefault="002673A5" w:rsidP="00725A79">
      <w:pPr>
        <w:spacing w:line="240" w:lineRule="exact"/>
        <w:jc w:val="both"/>
        <w:rPr>
          <w:rFonts w:cs="Times New Roman"/>
        </w:rPr>
      </w:pPr>
    </w:p>
    <w:p w:rsidR="002673A5" w:rsidRDefault="002673A5" w:rsidP="00725A79">
      <w:pPr>
        <w:spacing w:line="240" w:lineRule="exact"/>
        <w:jc w:val="both"/>
        <w:rPr>
          <w:rFonts w:cs="Times New Roman"/>
          <w:lang w:val="en-US"/>
        </w:rPr>
      </w:pPr>
      <w:r>
        <w:rPr>
          <w:rFonts w:cs="Times New Roman"/>
        </w:rPr>
        <w:t>Верно</w:t>
      </w:r>
      <w:r>
        <w:rPr>
          <w:rFonts w:cs="Times New Roman"/>
          <w:lang w:val="en-US"/>
        </w:rPr>
        <w:t>:</w:t>
      </w:r>
    </w:p>
    <w:p w:rsidR="004B49CB" w:rsidRDefault="004B49CB" w:rsidP="00725A79">
      <w:pPr>
        <w:spacing w:line="240" w:lineRule="exact"/>
        <w:jc w:val="both"/>
        <w:rPr>
          <w:rFonts w:cs="Times New Roman"/>
          <w:lang w:val="en-US"/>
        </w:rPr>
      </w:pPr>
    </w:p>
    <w:p w:rsidR="004B49CB" w:rsidRPr="004B49CB" w:rsidRDefault="004B49CB" w:rsidP="00725A79">
      <w:pPr>
        <w:spacing w:line="240" w:lineRule="exact"/>
        <w:jc w:val="both"/>
        <w:rPr>
          <w:rFonts w:cs="Times New Roman"/>
        </w:rPr>
      </w:pPr>
      <w:r>
        <w:rPr>
          <w:rFonts w:cs="Times New Roman"/>
        </w:rPr>
        <w:t>Заместитель начальника Управления-главный бухгалтер                                                                Р.В. Воронина</w:t>
      </w:r>
    </w:p>
    <w:sectPr w:rsidR="004B49CB" w:rsidRPr="004B49CB"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EE" w:rsidRDefault="006B11EE" w:rsidP="00C103BD">
      <w:r>
        <w:separator/>
      </w:r>
    </w:p>
  </w:endnote>
  <w:endnote w:type="continuationSeparator" w:id="0">
    <w:p w:rsidR="006B11EE" w:rsidRDefault="006B11EE"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EE" w:rsidRDefault="006B11EE" w:rsidP="00C103BD">
      <w:r>
        <w:separator/>
      </w:r>
    </w:p>
  </w:footnote>
  <w:footnote w:type="continuationSeparator" w:id="0">
    <w:p w:rsidR="006B11EE" w:rsidRDefault="006B11EE"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EndPr/>
    <w:sdtContent>
      <w:p w:rsidR="009A6D16" w:rsidRDefault="009A6D16">
        <w:pPr>
          <w:pStyle w:val="ab"/>
          <w:jc w:val="center"/>
        </w:pPr>
        <w:r>
          <w:fldChar w:fldCharType="begin"/>
        </w:r>
        <w:r>
          <w:instrText>PAGE   \* MERGEFORMAT</w:instrText>
        </w:r>
        <w:r>
          <w:fldChar w:fldCharType="separate"/>
        </w:r>
        <w:r w:rsidR="004D33F1">
          <w:rPr>
            <w:noProof/>
          </w:rPr>
          <w:t>2</w:t>
        </w:r>
        <w:r>
          <w:fldChar w:fldCharType="end"/>
        </w:r>
      </w:p>
    </w:sdtContent>
  </w:sdt>
  <w:p w:rsidR="009A6D16" w:rsidRDefault="009A6D16"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16" w:rsidRDefault="009A6D16">
    <w:pPr>
      <w:pStyle w:val="ab"/>
      <w:jc w:val="center"/>
    </w:pPr>
  </w:p>
  <w:p w:rsidR="009A6D16" w:rsidRDefault="009A6D1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EndPr/>
    <w:sdtContent>
      <w:p w:rsidR="009A6D16" w:rsidRDefault="009A6D16">
        <w:pPr>
          <w:pStyle w:val="ab"/>
          <w:jc w:val="center"/>
        </w:pPr>
        <w:r>
          <w:fldChar w:fldCharType="begin"/>
        </w:r>
        <w:r>
          <w:instrText>PAGE   \* MERGEFORMAT</w:instrText>
        </w:r>
        <w:r>
          <w:fldChar w:fldCharType="separate"/>
        </w:r>
        <w:r w:rsidR="004D33F1">
          <w:rPr>
            <w:noProof/>
          </w:rPr>
          <w:t>17</w:t>
        </w:r>
        <w:r>
          <w:fldChar w:fldCharType="end"/>
        </w:r>
      </w:p>
    </w:sdtContent>
  </w:sdt>
  <w:p w:rsidR="009A6D16" w:rsidRDefault="009A6D16"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EndPr/>
    <w:sdtContent>
      <w:p w:rsidR="009A6D16" w:rsidRDefault="009A6D16">
        <w:pPr>
          <w:pStyle w:val="ab"/>
          <w:jc w:val="center"/>
        </w:pPr>
        <w:r>
          <w:fldChar w:fldCharType="begin"/>
        </w:r>
        <w:r>
          <w:instrText>PAGE   \* MERGEFORMAT</w:instrText>
        </w:r>
        <w:r>
          <w:fldChar w:fldCharType="separate"/>
        </w:r>
        <w:r w:rsidR="004D33F1">
          <w:rPr>
            <w:noProof/>
          </w:rPr>
          <w:t>20</w:t>
        </w:r>
        <w:r>
          <w:fldChar w:fldCharType="end"/>
        </w:r>
      </w:p>
    </w:sdtContent>
  </w:sdt>
  <w:p w:rsidR="009A6D16" w:rsidRDefault="009A6D16"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F67"/>
    <w:rsid w:val="00067B44"/>
    <w:rsid w:val="000716F8"/>
    <w:rsid w:val="00083CF3"/>
    <w:rsid w:val="0008445F"/>
    <w:rsid w:val="00084F1B"/>
    <w:rsid w:val="0008686E"/>
    <w:rsid w:val="00095468"/>
    <w:rsid w:val="00095CC7"/>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30002"/>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1796"/>
    <w:rsid w:val="002E61BD"/>
    <w:rsid w:val="002E796F"/>
    <w:rsid w:val="002F02C5"/>
    <w:rsid w:val="002F78A3"/>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3F67"/>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7038"/>
    <w:rsid w:val="0067518B"/>
    <w:rsid w:val="00684760"/>
    <w:rsid w:val="0069081F"/>
    <w:rsid w:val="00691D64"/>
    <w:rsid w:val="006A095A"/>
    <w:rsid w:val="006A1C1B"/>
    <w:rsid w:val="006B11EE"/>
    <w:rsid w:val="006C2164"/>
    <w:rsid w:val="006C4431"/>
    <w:rsid w:val="006C4446"/>
    <w:rsid w:val="006C62BC"/>
    <w:rsid w:val="006D7808"/>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E2EA3"/>
    <w:rsid w:val="007E33B6"/>
    <w:rsid w:val="007E4442"/>
    <w:rsid w:val="007E455B"/>
    <w:rsid w:val="007F698B"/>
    <w:rsid w:val="00802FDD"/>
    <w:rsid w:val="00810633"/>
    <w:rsid w:val="0082228C"/>
    <w:rsid w:val="00822D44"/>
    <w:rsid w:val="00825B97"/>
    <w:rsid w:val="00831FBB"/>
    <w:rsid w:val="00832CFD"/>
    <w:rsid w:val="008331B2"/>
    <w:rsid w:val="00833A1E"/>
    <w:rsid w:val="00833B8E"/>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7AFB"/>
    <w:rsid w:val="008F16B7"/>
    <w:rsid w:val="008F1DCD"/>
    <w:rsid w:val="00901412"/>
    <w:rsid w:val="009166F9"/>
    <w:rsid w:val="00917DE4"/>
    <w:rsid w:val="009223DF"/>
    <w:rsid w:val="009254CD"/>
    <w:rsid w:val="00931546"/>
    <w:rsid w:val="009321E1"/>
    <w:rsid w:val="00935870"/>
    <w:rsid w:val="00936CD6"/>
    <w:rsid w:val="0093711C"/>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A03C2C"/>
    <w:rsid w:val="00A04241"/>
    <w:rsid w:val="00A042C4"/>
    <w:rsid w:val="00A11DF4"/>
    <w:rsid w:val="00A1596E"/>
    <w:rsid w:val="00A237DE"/>
    <w:rsid w:val="00A25106"/>
    <w:rsid w:val="00A26A25"/>
    <w:rsid w:val="00A368A9"/>
    <w:rsid w:val="00A37D17"/>
    <w:rsid w:val="00A37DA0"/>
    <w:rsid w:val="00A42E13"/>
    <w:rsid w:val="00A4533E"/>
    <w:rsid w:val="00A50464"/>
    <w:rsid w:val="00A52AA8"/>
    <w:rsid w:val="00A64943"/>
    <w:rsid w:val="00A71CAA"/>
    <w:rsid w:val="00A814C6"/>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D0981"/>
    <w:rsid w:val="00BD7E6A"/>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6343"/>
    <w:rsid w:val="00CA1982"/>
    <w:rsid w:val="00CA4D74"/>
    <w:rsid w:val="00CB37BC"/>
    <w:rsid w:val="00CB5037"/>
    <w:rsid w:val="00CB5CFF"/>
    <w:rsid w:val="00CD112B"/>
    <w:rsid w:val="00CD5338"/>
    <w:rsid w:val="00CD5426"/>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0D7F"/>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47AF6"/>
    <w:rsid w:val="00E52785"/>
    <w:rsid w:val="00E55892"/>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00DD-FA28-4340-B98A-A545D81B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49</Pages>
  <Words>11658</Words>
  <Characters>66457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77960</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Маргарита Уварова</cp:lastModifiedBy>
  <cp:revision>66</cp:revision>
  <cp:lastPrinted>2018-02-16T07:01:00Z</cp:lastPrinted>
  <dcterms:created xsi:type="dcterms:W3CDTF">2017-12-01T10:16:00Z</dcterms:created>
  <dcterms:modified xsi:type="dcterms:W3CDTF">2018-06-25T14:15:00Z</dcterms:modified>
</cp:coreProperties>
</file>