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Default="00652B2C" w:rsidP="00652B2C">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7687" w:rsidRDefault="00652B2C" w:rsidP="00652B2C">
      <w:pPr>
        <w:ind w:right="-2" w:firstLine="1701"/>
        <w:rPr>
          <w:b/>
        </w:rPr>
      </w:pPr>
      <w:r w:rsidRPr="00537687">
        <w:tab/>
      </w:r>
      <w:r w:rsidRPr="00537687">
        <w:tab/>
      </w: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От _________________ № _____________</w:t>
      </w:r>
    </w:p>
    <w:p w:rsidR="00652B2C" w:rsidRDefault="00652B2C" w:rsidP="00652B2C">
      <w:pPr>
        <w:ind w:right="-2"/>
        <w:jc w:val="center"/>
        <w:outlineLvl w:val="0"/>
      </w:pPr>
      <w:r>
        <w:t>г. Электросталь</w:t>
      </w:r>
    </w:p>
    <w:p w:rsidR="00652B2C" w:rsidRPr="00713603" w:rsidRDefault="00652B2C" w:rsidP="00652B2C">
      <w:pPr>
        <w:outlineLvl w:val="0"/>
        <w:rPr>
          <w:rFonts w:cs="Times New Roman"/>
        </w:rPr>
      </w:pPr>
    </w:p>
    <w:p w:rsidR="00652B2C" w:rsidRPr="00DD3DAA" w:rsidRDefault="00652B2C" w:rsidP="00713603">
      <w:pPr>
        <w:jc w:val="center"/>
        <w:rPr>
          <w:rFonts w:cs="Times New Roman"/>
        </w:rPr>
      </w:pPr>
      <w:bookmarkStart w:id="0" w:name="_GoBack"/>
      <w:r w:rsidRPr="00DD3DAA">
        <w:rPr>
          <w:rFonts w:cs="Times New Roman"/>
        </w:rPr>
        <w:t>О прогнозе социально-экономического развития городского округа Электросталь Московской области на 20</w:t>
      </w:r>
      <w:r w:rsidR="00E159AD">
        <w:rPr>
          <w:rFonts w:cs="Times New Roman"/>
        </w:rPr>
        <w:t>20</w:t>
      </w:r>
      <w:r w:rsidRPr="00DD3DAA">
        <w:rPr>
          <w:rFonts w:cs="Times New Roman"/>
        </w:rPr>
        <w:t>-202</w:t>
      </w:r>
      <w:r w:rsidR="00E159AD">
        <w:rPr>
          <w:rFonts w:cs="Times New Roman"/>
        </w:rPr>
        <w:t>2</w:t>
      </w:r>
      <w:r w:rsidRPr="00DD3DAA">
        <w:rPr>
          <w:rFonts w:cs="Times New Roman"/>
        </w:rPr>
        <w:t xml:space="preserve"> годы</w:t>
      </w:r>
      <w:bookmarkEnd w:id="0"/>
    </w:p>
    <w:p w:rsidR="00652B2C" w:rsidRPr="00DD3DAA" w:rsidRDefault="00652B2C" w:rsidP="00713603">
      <w:pPr>
        <w:tabs>
          <w:tab w:val="center" w:pos="4677"/>
        </w:tabs>
        <w:jc w:val="both"/>
        <w:rPr>
          <w:rFonts w:cs="Times New Roman"/>
        </w:rPr>
      </w:pPr>
    </w:p>
    <w:p w:rsidR="00652B2C" w:rsidRPr="00DD3DAA" w:rsidRDefault="00652B2C" w:rsidP="00652B2C">
      <w:pPr>
        <w:autoSpaceDE w:val="0"/>
        <w:autoSpaceDN w:val="0"/>
        <w:adjustRightInd w:val="0"/>
        <w:ind w:firstLine="540"/>
        <w:jc w:val="both"/>
        <w:rPr>
          <w:rFonts w:cs="Times New Roman"/>
          <w:kern w:val="16"/>
        </w:rPr>
      </w:pPr>
      <w:r w:rsidRPr="00DD3DAA">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652B2C" w:rsidRPr="00DD3DAA" w:rsidRDefault="00652B2C" w:rsidP="00652B2C">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D3DAA">
        <w:rPr>
          <w:rFonts w:cs="Times New Roman"/>
        </w:rPr>
        <w:t>20</w:t>
      </w:r>
      <w:r w:rsidR="00E159AD">
        <w:rPr>
          <w:rFonts w:cs="Times New Roman"/>
        </w:rPr>
        <w:t>20</w:t>
      </w:r>
      <w:r w:rsidR="00E159AD" w:rsidRPr="00DD3DAA">
        <w:rPr>
          <w:rFonts w:cs="Times New Roman"/>
        </w:rPr>
        <w:t>-202</w:t>
      </w:r>
      <w:r w:rsidR="00E159AD">
        <w:rPr>
          <w:rFonts w:cs="Times New Roman"/>
        </w:rPr>
        <w:t>2</w:t>
      </w:r>
      <w:r w:rsidR="00E159AD" w:rsidRPr="00DD3DAA">
        <w:rPr>
          <w:rFonts w:cs="Times New Roman"/>
        </w:rPr>
        <w:t xml:space="preserve"> </w:t>
      </w:r>
      <w:r w:rsidRPr="00DD3DAA">
        <w:rPr>
          <w:rFonts w:ascii="Times New Roman" w:hAnsi="Times New Roman" w:cs="Times New Roman"/>
          <w:sz w:val="24"/>
          <w:szCs w:val="24"/>
        </w:rPr>
        <w:t>годы согласно приложению к настоящему постановлению.</w:t>
      </w:r>
    </w:p>
    <w:p w:rsidR="00652B2C" w:rsidRPr="00DD3DAA" w:rsidRDefault="00652B2C" w:rsidP="00652B2C">
      <w:pPr>
        <w:pStyle w:val="a3"/>
        <w:numPr>
          <w:ilvl w:val="0"/>
          <w:numId w:val="1"/>
        </w:numPr>
        <w:ind w:left="0" w:firstLine="540"/>
        <w:jc w:val="both"/>
      </w:pPr>
      <w:r w:rsidRPr="00DD3DAA">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t>осталь Московской области на 2020</w:t>
      </w:r>
      <w:r w:rsidRPr="00DD3DAA">
        <w:t xml:space="preserve"> год и на плановый период  202</w:t>
      </w:r>
      <w:r w:rsidR="00E159AD">
        <w:t>1</w:t>
      </w:r>
      <w:r w:rsidRPr="00DD3DAA">
        <w:t xml:space="preserve"> и 202</w:t>
      </w:r>
      <w:r w:rsidR="00E159AD">
        <w:t>2</w:t>
      </w:r>
      <w:r w:rsidRPr="00DD3DAA">
        <w:t xml:space="preserve"> годов на основе прогноза социально-экономического развития городского округа Электросталь Московской области на 20</w:t>
      </w:r>
      <w:r w:rsidR="00E159AD">
        <w:t>20</w:t>
      </w:r>
      <w:r w:rsidRPr="00DD3DAA">
        <w:t>-202</w:t>
      </w:r>
      <w:r w:rsidR="00E159AD">
        <w:t>1</w:t>
      </w:r>
      <w:r w:rsidRPr="00DD3DAA">
        <w:t xml:space="preserve"> годы.</w:t>
      </w:r>
    </w:p>
    <w:p w:rsidR="00652B2C" w:rsidRPr="00DD3DAA" w:rsidRDefault="00652B2C" w:rsidP="00652B2C">
      <w:pPr>
        <w:pStyle w:val="a3"/>
        <w:numPr>
          <w:ilvl w:val="0"/>
          <w:numId w:val="1"/>
        </w:numPr>
        <w:ind w:left="0" w:firstLine="540"/>
        <w:jc w:val="both"/>
      </w:pPr>
      <w:r w:rsidRPr="00DD3DAA">
        <w:t xml:space="preserve">Представить прогноз социально-экономического развития городского округа Электросталь Московской </w:t>
      </w:r>
      <w:proofErr w:type="gramStart"/>
      <w:r w:rsidRPr="00DD3DAA">
        <w:t>области  на</w:t>
      </w:r>
      <w:proofErr w:type="gramEnd"/>
      <w:r w:rsidRPr="00DD3DAA">
        <w:t xml:space="preserve"> </w:t>
      </w:r>
      <w:r w:rsidR="00E159AD" w:rsidRPr="00DD3DAA">
        <w:t>20</w:t>
      </w:r>
      <w:r w:rsidR="00E159AD">
        <w:t>20</w:t>
      </w:r>
      <w:r w:rsidR="00E159AD" w:rsidRPr="00DD3DAA">
        <w:t>-202</w:t>
      </w:r>
      <w:r w:rsidR="00E159AD">
        <w:t>2</w:t>
      </w:r>
      <w:r w:rsidR="00E159AD" w:rsidRPr="00DD3DAA">
        <w:t xml:space="preserve"> </w:t>
      </w:r>
      <w:r w:rsidRPr="00DD3DAA">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t>20</w:t>
      </w:r>
      <w:r w:rsidRPr="00DD3DAA">
        <w:t xml:space="preserve"> год и на плановый период  202</w:t>
      </w:r>
      <w:r w:rsidR="00E159AD">
        <w:t>1</w:t>
      </w:r>
      <w:r w:rsidRPr="00DD3DAA">
        <w:t xml:space="preserve">  и 202</w:t>
      </w:r>
      <w:r w:rsidR="00E159AD">
        <w:t>2</w:t>
      </w:r>
      <w:r w:rsidRPr="00DD3DAA">
        <w:t xml:space="preserve"> годов».</w:t>
      </w:r>
    </w:p>
    <w:p w:rsidR="00652B2C" w:rsidRPr="00DD3DAA" w:rsidRDefault="00652B2C" w:rsidP="00652B2C">
      <w:pPr>
        <w:pStyle w:val="a3"/>
        <w:numPr>
          <w:ilvl w:val="0"/>
          <w:numId w:val="1"/>
        </w:numPr>
        <w:ind w:left="0" w:firstLine="540"/>
        <w:jc w:val="both"/>
      </w:pPr>
      <w:r w:rsidRPr="00DD3DAA">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DD3DAA">
          <w:rPr>
            <w:rStyle w:val="af1"/>
            <w:lang w:val="en-US"/>
          </w:rPr>
          <w:t>www</w:t>
        </w:r>
        <w:r w:rsidRPr="00DD3DAA">
          <w:rPr>
            <w:rStyle w:val="af1"/>
          </w:rPr>
          <w:t>.</w:t>
        </w:r>
        <w:proofErr w:type="spellStart"/>
        <w:r w:rsidRPr="00DD3DAA">
          <w:rPr>
            <w:rStyle w:val="af1"/>
            <w:lang w:val="en-US"/>
          </w:rPr>
          <w:t>electrostal</w:t>
        </w:r>
        <w:proofErr w:type="spellEnd"/>
        <w:r w:rsidRPr="00DD3DAA">
          <w:rPr>
            <w:rStyle w:val="af1"/>
          </w:rPr>
          <w:t>.</w:t>
        </w:r>
        <w:proofErr w:type="spellStart"/>
        <w:r w:rsidRPr="00DD3DAA">
          <w:rPr>
            <w:rStyle w:val="af1"/>
            <w:lang w:val="en-US"/>
          </w:rPr>
          <w:t>ru</w:t>
        </w:r>
        <w:proofErr w:type="spellEnd"/>
      </w:hyperlink>
      <w:r w:rsidRPr="00DD3DAA">
        <w:t>.</w:t>
      </w:r>
    </w:p>
    <w:p w:rsidR="00652B2C" w:rsidRPr="00DD3DAA" w:rsidRDefault="00652B2C" w:rsidP="00652B2C">
      <w:pPr>
        <w:pStyle w:val="a3"/>
        <w:numPr>
          <w:ilvl w:val="0"/>
          <w:numId w:val="1"/>
        </w:numPr>
        <w:ind w:left="0" w:firstLine="540"/>
        <w:jc w:val="both"/>
      </w:pPr>
      <w:r w:rsidRPr="00DD3DAA">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Default="00652B2C" w:rsidP="00713603">
      <w:pPr>
        <w:pStyle w:val="af"/>
        <w:ind w:left="0"/>
        <w:rPr>
          <w:rFonts w:cs="Times New Roman"/>
        </w:rPr>
      </w:pPr>
    </w:p>
    <w:p w:rsidR="00713603" w:rsidRDefault="00713603" w:rsidP="00713603">
      <w:pPr>
        <w:pStyle w:val="af"/>
        <w:ind w:left="0"/>
        <w:rPr>
          <w:rFonts w:cs="Times New Roman"/>
        </w:rPr>
      </w:pPr>
    </w:p>
    <w:p w:rsidR="00713603" w:rsidRPr="000955C9" w:rsidRDefault="00713603" w:rsidP="00713603">
      <w:pPr>
        <w:pStyle w:val="af"/>
        <w:ind w:left="0"/>
        <w:rPr>
          <w:rFonts w:cs="Times New Roman"/>
        </w:rPr>
      </w:pPr>
    </w:p>
    <w:p w:rsidR="00652B2C" w:rsidRPr="000955C9" w:rsidRDefault="00652B2C" w:rsidP="00713603">
      <w:pPr>
        <w:pStyle w:val="af"/>
        <w:ind w:left="0"/>
        <w:rPr>
          <w:rFonts w:cs="Times New Roman"/>
        </w:rPr>
      </w:pPr>
      <w:r w:rsidRPr="000955C9">
        <w:rPr>
          <w:rFonts w:cs="Times New Roman"/>
        </w:rPr>
        <w:t xml:space="preserve">Глава городского округа                                             </w:t>
      </w:r>
      <w:r w:rsidR="00713603">
        <w:rPr>
          <w:rFonts w:cs="Times New Roman"/>
        </w:rPr>
        <w:t xml:space="preserve">     </w:t>
      </w:r>
      <w:r w:rsidRPr="000955C9">
        <w:rPr>
          <w:rFonts w:cs="Times New Roman"/>
        </w:rPr>
        <w:t xml:space="preserve">                                         В.Я. Пекарев</w:t>
      </w: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652B2C">
            <w:r>
              <w:t>от ____</w:t>
            </w:r>
            <w:r w:rsidRPr="00605012">
              <w:t>______________№______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Pr="00B647D3"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Pr="00B647D3" w:rsidRDefault="00B647D3" w:rsidP="00FE4282">
      <w:pPr>
        <w:ind w:firstLine="567"/>
        <w:jc w:val="both"/>
        <w:rPr>
          <w:rFonts w:cs="Times New Roman"/>
        </w:rPr>
      </w:pPr>
      <w:r w:rsidRPr="00B647D3">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B647D3">
        <w:rPr>
          <w:rFonts w:cs="Times New Roman"/>
        </w:rPr>
        <w:lastRenderedPageBreak/>
        <w:t>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w:t>
      </w:r>
      <w:proofErr w:type="gramStart"/>
      <w:r w:rsidRPr="00B647D3">
        <w:rPr>
          <w:rFonts w:cs="Times New Roman"/>
        </w:rPr>
        <w:t xml:space="preserve">01.01.2018  </w:t>
      </w:r>
      <w:proofErr w:type="spellStart"/>
      <w:r w:rsidRPr="00B647D3">
        <w:rPr>
          <w:rFonts w:cs="Times New Roman"/>
        </w:rPr>
        <w:t>с.п.Степановское</w:t>
      </w:r>
      <w:proofErr w:type="spellEnd"/>
      <w:proofErr w:type="gramEnd"/>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w:t>
      </w:r>
      <w:proofErr w:type="spellStart"/>
      <w:r w:rsidRPr="00B647D3">
        <w:rPr>
          <w:rFonts w:cs="Times New Roman"/>
        </w:rPr>
        <w:t>Всеволодово</w:t>
      </w:r>
      <w:proofErr w:type="spellEnd"/>
      <w:r w:rsidRPr="00B647D3">
        <w:rPr>
          <w:rFonts w:cs="Times New Roman"/>
        </w:rPr>
        <w:t xml:space="preserve">; поселок Елизаветино; деревня Есино; село </w:t>
      </w:r>
      <w:proofErr w:type="spellStart"/>
      <w:r w:rsidRPr="00B647D3">
        <w:rPr>
          <w:rFonts w:cs="Times New Roman"/>
        </w:rPr>
        <w:t>Иванисово</w:t>
      </w:r>
      <w:proofErr w:type="spellEnd"/>
      <w:r w:rsidRPr="00B647D3">
        <w:rPr>
          <w:rFonts w:cs="Times New Roman"/>
        </w:rPr>
        <w:t xml:space="preserve">; поселок Новые Дома; деревня Пушкино; поселок  Случайный; деревня Степаново; поселок </w:t>
      </w:r>
      <w:proofErr w:type="spellStart"/>
      <w:r w:rsidRPr="00B647D3">
        <w:rPr>
          <w:rFonts w:cs="Times New Roman"/>
        </w:rPr>
        <w:t>Фрязево</w:t>
      </w:r>
      <w:proofErr w:type="spellEnd"/>
      <w:r w:rsidRPr="00B647D3">
        <w:rPr>
          <w:rFonts w:cs="Times New Roman"/>
        </w:rPr>
        <w:t>.</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w:t>
      </w:r>
      <w:proofErr w:type="spellStart"/>
      <w:r w:rsidRPr="00EC13A5">
        <w:rPr>
          <w:rFonts w:cs="Times New Roman"/>
        </w:rPr>
        <w:t>микропредприятиями</w:t>
      </w:r>
      <w:proofErr w:type="spellEnd"/>
      <w:r w:rsidRPr="00EC13A5">
        <w:rPr>
          <w:rFonts w:cs="Times New Roman"/>
        </w:rPr>
        <w:t xml:space="preserve">.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w:t>
      </w:r>
      <w:proofErr w:type="spellStart"/>
      <w:r w:rsidRPr="00EC13A5">
        <w:rPr>
          <w:rFonts w:cs="Times New Roman"/>
        </w:rPr>
        <w:t>Госкорпорации</w:t>
      </w:r>
      <w:proofErr w:type="spellEnd"/>
      <w:r w:rsidRPr="00EC13A5">
        <w:rPr>
          <w:rFonts w:cs="Times New Roman"/>
        </w:rPr>
        <w:t xml:space="preserve"> «</w:t>
      </w:r>
      <w:proofErr w:type="spellStart"/>
      <w:r w:rsidRPr="00EC13A5">
        <w:rPr>
          <w:rFonts w:cs="Times New Roman"/>
        </w:rPr>
        <w:t>Росатом</w:t>
      </w:r>
      <w:proofErr w:type="spellEnd"/>
      <w:r w:rsidRPr="00EC13A5">
        <w:rPr>
          <w:rFonts w:cs="Times New Roman"/>
        </w:rPr>
        <w:t xml:space="preserve">»,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ОАО «Электростальский химико-механический завод им. Н.Д.Зелинского», ранее входивший в корпорацию «</w:t>
      </w:r>
      <w:proofErr w:type="spellStart"/>
      <w:r w:rsidRPr="00EC13A5">
        <w:rPr>
          <w:rFonts w:cs="Times New Roman"/>
        </w:rPr>
        <w:t>Спецзащита</w:t>
      </w:r>
      <w:proofErr w:type="spellEnd"/>
      <w:r w:rsidRPr="00EC13A5">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EC13A5">
        <w:rPr>
          <w:rFonts w:cs="Times New Roman"/>
        </w:rPr>
        <w:t>Степановское</w:t>
      </w:r>
      <w:proofErr w:type="spellEnd"/>
      <w:r w:rsidRPr="00EC13A5">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EC13A5">
        <w:rPr>
          <w:rFonts w:cs="Times New Roman"/>
        </w:rPr>
        <w:t>Степановское</w:t>
      </w:r>
      <w:proofErr w:type="spellEnd"/>
      <w:r w:rsidRPr="00EC13A5">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w:t>
      </w:r>
      <w:r w:rsidRPr="00EC13A5">
        <w:rPr>
          <w:rFonts w:cs="Times New Roman"/>
        </w:rPr>
        <w:lastRenderedPageBreak/>
        <w:t>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EC13A5">
        <w:rPr>
          <w:rFonts w:cs="Times New Roman"/>
        </w:rPr>
        <w:t>Степановское</w:t>
      </w:r>
      <w:proofErr w:type="spellEnd"/>
      <w:r w:rsidRPr="00EC13A5">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EC13A5">
        <w:rPr>
          <w:rFonts w:cs="Times New Roman"/>
        </w:rPr>
        <w:t>Степановское</w:t>
      </w:r>
      <w:proofErr w:type="spellEnd"/>
      <w:r w:rsidRPr="00EC13A5">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 xml:space="preserve">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8 008 человек. В 2018 году в городском округе родилось 1470 детей, смертность составила 2174 человека. В результате, естественная убыль населения городского округа составила 704 человека.  Следует отметить, что естественная убыль населения </w:t>
      </w:r>
      <w:proofErr w:type="spellStart"/>
      <w:r w:rsidRPr="00EC13A5">
        <w:rPr>
          <w:rFonts w:cs="Times New Roman"/>
        </w:rPr>
        <w:t>наблюдаетсяна</w:t>
      </w:r>
      <w:proofErr w:type="spellEnd"/>
      <w:r w:rsidRPr="00EC13A5">
        <w:rPr>
          <w:rFonts w:cs="Times New Roman"/>
        </w:rPr>
        <w:t xml:space="preserve">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впервые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 городское население (г. Электросталь) – 157371 человек (95%); - население сельских населенных пунктов, находящиеся в границе городского округа – 7 993 человека (5%).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с.п. </w:t>
      </w:r>
      <w:proofErr w:type="spellStart"/>
      <w:r w:rsidRPr="00EC13A5">
        <w:rPr>
          <w:rFonts w:cs="Times New Roman"/>
        </w:rPr>
        <w:t>Степановское</w:t>
      </w:r>
      <w:proofErr w:type="spellEnd"/>
      <w:r w:rsidRPr="00EC13A5">
        <w:rPr>
          <w:rFonts w:cs="Times New Roman"/>
        </w:rPr>
        <w:t>): на начало 2019 года плотность населения составляла1200 человек на 1 кв. км.</w:t>
      </w:r>
    </w:p>
    <w:p w:rsidR="00EC13A5" w:rsidRDefault="00EC13A5" w:rsidP="00EC13A5">
      <w:pPr>
        <w:ind w:firstLine="567"/>
        <w:jc w:val="both"/>
        <w:rPr>
          <w:rFonts w:cs="Times New Roman"/>
        </w:rPr>
      </w:pPr>
      <w:r w:rsidRPr="00EC13A5">
        <w:rPr>
          <w:rFonts w:cs="Times New Roman"/>
        </w:rPr>
        <w:t xml:space="preserve">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Динамика регистрации случаев смерти за 5 месяцев 2019 года свидетельствует о снижении смертности в 2019 года (на 67 человек меньше, чем за аналогичный период 2018 года). По итогам года  уровень смертности ожидается в количестве 2100 человек. Это свидетельствует об эффективности мер в сфере здравоохранения, направленных на </w:t>
      </w:r>
      <w:proofErr w:type="spellStart"/>
      <w:r w:rsidRPr="00EC13A5">
        <w:rPr>
          <w:rFonts w:cs="Times New Roman"/>
        </w:rPr>
        <w:t>снижениие</w:t>
      </w:r>
      <w:proofErr w:type="spellEnd"/>
      <w:r w:rsidRPr="00EC13A5">
        <w:rPr>
          <w:rFonts w:cs="Times New Roman"/>
        </w:rPr>
        <w:t xml:space="preserve">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Преобладание промышленных предприятий формирует миграционные потоки. 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t>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области ООО "Агрокомплекс "</w:t>
      </w:r>
      <w:proofErr w:type="spellStart"/>
      <w:r w:rsidRPr="00EC13A5">
        <w:rPr>
          <w:rFonts w:cs="Times New Roman"/>
        </w:rPr>
        <w:t>Иванисово</w:t>
      </w:r>
      <w:proofErr w:type="spellEnd"/>
      <w:r w:rsidRPr="00EC13A5">
        <w:rPr>
          <w:rFonts w:cs="Times New Roman"/>
        </w:rPr>
        <w:t xml:space="preserve">", введением в эксплуатацию второй очереди агрокомплекса по выращиванию томатов и </w:t>
      </w:r>
      <w:proofErr w:type="spellStart"/>
      <w:r w:rsidRPr="00EC13A5">
        <w:rPr>
          <w:rFonts w:cs="Times New Roman"/>
        </w:rPr>
        <w:t>грибоводческой</w:t>
      </w:r>
      <w:proofErr w:type="spellEnd"/>
      <w:r w:rsidRPr="00EC13A5">
        <w:rPr>
          <w:rFonts w:cs="Times New Roman"/>
        </w:rPr>
        <w:t xml:space="preserve"> продукции</w:t>
      </w:r>
      <w:r>
        <w:rPr>
          <w:rFonts w:cs="Times New Roman"/>
        </w:rPr>
        <w:t>.</w:t>
      </w:r>
    </w:p>
    <w:p w:rsidR="00EC13A5" w:rsidRPr="00EC13A5" w:rsidRDefault="00EC13A5" w:rsidP="00EC13A5">
      <w:pPr>
        <w:ind w:firstLine="567"/>
        <w:jc w:val="both"/>
        <w:rPr>
          <w:rFonts w:cs="Times New Roman"/>
        </w:rPr>
      </w:pPr>
    </w:p>
    <w:p w:rsidR="00FE4282" w:rsidRPr="003B48BE" w:rsidRDefault="00FE4282" w:rsidP="00FE4282">
      <w:pPr>
        <w:ind w:firstLine="567"/>
        <w:jc w:val="both"/>
        <w:rPr>
          <w:rFonts w:cs="Times New Roman"/>
          <w:b/>
        </w:rPr>
      </w:pPr>
      <w:r w:rsidRPr="003B48BE">
        <w:rPr>
          <w:rFonts w:cs="Times New Roman"/>
          <w:b/>
        </w:rPr>
        <w:t>Промышленное производство.</w:t>
      </w:r>
    </w:p>
    <w:p w:rsidR="00B647D3" w:rsidRPr="003B48BE" w:rsidRDefault="00B647D3" w:rsidP="00FE4282">
      <w:pPr>
        <w:ind w:firstLine="567"/>
        <w:jc w:val="both"/>
        <w:rPr>
          <w:rFonts w:cs="Times New Roman"/>
          <w:b/>
        </w:rPr>
      </w:pPr>
    </w:p>
    <w:p w:rsidR="00FE4282" w:rsidRPr="002948BE" w:rsidRDefault="00B647D3" w:rsidP="00FE4282">
      <w:pPr>
        <w:ind w:firstLine="567"/>
        <w:jc w:val="both"/>
        <w:rPr>
          <w:rFonts w:cs="Times New Roman"/>
          <w:b/>
          <w:bCs/>
          <w:i/>
          <w:color w:val="333333"/>
        </w:rPr>
      </w:pPr>
      <w:r w:rsidRPr="002948BE">
        <w:rPr>
          <w:rFonts w:cs="Times New Roman"/>
          <w:b/>
          <w:bCs/>
          <w:i/>
          <w:color w:val="333333"/>
        </w:rPr>
        <w:t>Сложившаяся характеристика развития промышленного производства</w:t>
      </w:r>
    </w:p>
    <w:p w:rsidR="00A5608E" w:rsidRDefault="00503F06" w:rsidP="00FE4282">
      <w:pPr>
        <w:ind w:firstLine="540"/>
        <w:jc w:val="both"/>
        <w:rPr>
          <w:rFonts w:cs="Times New Roman"/>
        </w:rPr>
      </w:pPr>
      <w:r w:rsidRPr="00503F0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всем видам деятельности составил за 2018 год 53,9 млрд. рублей, снижение по сравнению с 2017 годом – 6,1%. По промышленным видам деятельности объем отгруженной продукции составил в 2018 году 51,5 млрд.рублей, снижение по сравнению с 2017 годом 6,5%.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ПАО «МСЗ» (объем отгруженной продукции за 2018 год составил 17,9 млрд.руб.) и АО МЗ «Электросталь» (объем отгруженной продукции за 2018 год 12,8 млрд.руб.),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Важным фактором динамичного развития промышленного производства является увеличение степени загрузки производственных мощностей предприятий городского округа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обрабатывающего производства.  В целях наиболее эффективного использования имеющихся производственные мощностей  осуществляется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являются: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B31EDC" w:rsidRPr="003B48BE" w:rsidRDefault="00764646" w:rsidP="00FE4282">
      <w:pPr>
        <w:ind w:firstLine="540"/>
        <w:jc w:val="both"/>
        <w:rPr>
          <w:rFonts w:cs="Times New Roman"/>
          <w:b/>
        </w:rPr>
      </w:pPr>
      <w:r w:rsidRPr="00764646">
        <w:rPr>
          <w:rFonts w:cs="Times New Roman"/>
        </w:rPr>
        <w:t>На положительную динамику показателя в прогнозном периоде окажут влияние следующие факторы: 1.</w:t>
      </w:r>
      <w:r w:rsidRPr="00764646">
        <w:rPr>
          <w:rFonts w:cs="Times New Roman"/>
        </w:rPr>
        <w:tab/>
        <w:t>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2.</w:t>
      </w:r>
      <w:r w:rsidRPr="00764646">
        <w:rPr>
          <w:rFonts w:cs="Times New Roman"/>
        </w:rPr>
        <w:tab/>
        <w:t xml:space="preserve">Реализация инвестиционных проектов в сфере «промышленность»: - Реконструкция и модернизация предприятия атомной отрасли 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ФЦП и обременениям. Планируемый объем инвестиций по проекту составляет 15 млрд. руб., планируется создание 25 рабочих мест, проект реализуется с 2015 года, срок окончания проекта IV квартал 2019 года; - 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w:t>
      </w:r>
      <w:proofErr w:type="spellStart"/>
      <w:r w:rsidRPr="00764646">
        <w:rPr>
          <w:rFonts w:cs="Times New Roman"/>
        </w:rPr>
        <w:t>Industrieofen-undApparatebau</w:t>
      </w:r>
      <w:proofErr w:type="spellEnd"/>
      <w:r w:rsidRPr="00764646">
        <w:rPr>
          <w:rFonts w:cs="Times New Roman"/>
        </w:rPr>
        <w:t xml:space="preserve">. Планируемый объем инвестиций по проекту составляет 500 млн. руб., рабочие места по проекту не создаются, проект реализуется с 2017 года, срок окончания проекта IV квартал 2019 года; - Создание нового производства автоклавного газобетона, </w:t>
      </w:r>
      <w:proofErr w:type="spellStart"/>
      <w:r w:rsidRPr="00764646">
        <w:rPr>
          <w:rFonts w:cs="Times New Roman"/>
        </w:rPr>
        <w:t>реализуетсякомпанией</w:t>
      </w:r>
      <w:proofErr w:type="spellEnd"/>
      <w:r w:rsidRPr="00764646">
        <w:rPr>
          <w:rFonts w:cs="Times New Roman"/>
        </w:rPr>
        <w:t xml:space="preserve"> «БОНОЛИТ» с октября 2018 года. Планируемый объем инвестиций по проекту составляет 100 млн. руб., планируется создание 250 рабочих мест, срок окончания проекта III квартал 2019 года; - Группой компании «</w:t>
      </w:r>
      <w:proofErr w:type="spellStart"/>
      <w:r w:rsidRPr="00764646">
        <w:rPr>
          <w:rFonts w:cs="Times New Roman"/>
        </w:rPr>
        <w:t>Тране</w:t>
      </w:r>
      <w:proofErr w:type="spellEnd"/>
      <w:r w:rsidRPr="00764646">
        <w:rPr>
          <w:rFonts w:cs="Times New Roman"/>
        </w:rPr>
        <w:t>» реализуются инвестиционные проекты по строительству бизнес-парка на общую сумму инвестиций 296,8 млн. рублей; - Строительство производственного здания компанией ООО «Производственный комплекс «ВЕГА», планируемый объем инвестиций 100 млн. рублей; - Строительство производственного здания компанией ООО «Альянс», планируемый объем инвестиций 80 млн. рублей; - Строительство производственного здания ООО «</w:t>
      </w:r>
      <w:proofErr w:type="spellStart"/>
      <w:r w:rsidRPr="00764646">
        <w:rPr>
          <w:rFonts w:cs="Times New Roman"/>
        </w:rPr>
        <w:t>Амега</w:t>
      </w:r>
      <w:proofErr w:type="spellEnd"/>
      <w:r w:rsidRPr="00764646">
        <w:rPr>
          <w:rFonts w:cs="Times New Roman"/>
        </w:rPr>
        <w:t>». Планируемый объем инвестиций по проекту составляет 200 млн. руб., планируется создание 30 рабочих мест, срок окончания проекта I квартал 2020 года. - Строительство производственно-складского комплекса компанией ООО «</w:t>
      </w:r>
      <w:proofErr w:type="spellStart"/>
      <w:r w:rsidRPr="00764646">
        <w:rPr>
          <w:rFonts w:cs="Times New Roman"/>
        </w:rPr>
        <w:t>МасТТеч</w:t>
      </w:r>
      <w:proofErr w:type="spellEnd"/>
      <w:r w:rsidRPr="00764646">
        <w:rPr>
          <w:rFonts w:cs="Times New Roman"/>
        </w:rPr>
        <w:t>», планируемый объем инвестиций 100 млн. рублей.</w:t>
      </w:r>
    </w:p>
    <w:p w:rsidR="00B31EDC" w:rsidRPr="003B48BE" w:rsidRDefault="00B31EDC"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rPr>
        <w:t>Сельское хозяйство</w:t>
      </w:r>
    </w:p>
    <w:p w:rsidR="00FE4282" w:rsidRPr="002948BE" w:rsidRDefault="00B31EDC" w:rsidP="00FE4282">
      <w:pPr>
        <w:ind w:firstLine="540"/>
        <w:jc w:val="both"/>
        <w:rPr>
          <w:rFonts w:cs="Times New Roman"/>
          <w:b/>
          <w:bCs/>
          <w:i/>
          <w:color w:val="333333"/>
        </w:rPr>
      </w:pPr>
      <w:r w:rsidRPr="002948BE">
        <w:rPr>
          <w:rFonts w:cs="Times New Roman"/>
          <w:b/>
          <w:bCs/>
          <w:i/>
          <w:color w:val="333333"/>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Крупнейшими сельскохозяйственными предприятиями городского округа Электросталь на сегодняшний день являются: ООО "Тепличный комплекс "Агрокомплекс "</w:t>
      </w:r>
      <w:proofErr w:type="spellStart"/>
      <w:r w:rsidRPr="00764646">
        <w:rPr>
          <w:rFonts w:cs="Times New Roman"/>
        </w:rPr>
        <w:t>Иванисово</w:t>
      </w:r>
      <w:proofErr w:type="spellEnd"/>
      <w:r w:rsidRPr="00764646">
        <w:rPr>
          <w:rFonts w:cs="Times New Roman"/>
        </w:rPr>
        <w:t>", ООО "</w:t>
      </w:r>
      <w:proofErr w:type="gramStart"/>
      <w:r w:rsidRPr="00764646">
        <w:rPr>
          <w:rFonts w:cs="Times New Roman"/>
        </w:rPr>
        <w:t>Агрокомплекс  "</w:t>
      </w:r>
      <w:proofErr w:type="gramEnd"/>
      <w:r w:rsidRPr="00764646">
        <w:rPr>
          <w:rFonts w:cs="Times New Roman"/>
        </w:rPr>
        <w:t>Богородские овощи", грибной комплекс ООО "ТД Богородские овощи».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w:t>
      </w:r>
      <w:r>
        <w:rPr>
          <w:rFonts w:cs="Times New Roman"/>
        </w:rPr>
        <w:t>инге частных сельских  хозяйств</w:t>
      </w:r>
      <w:r w:rsidRPr="00764646">
        <w:rPr>
          <w:rFonts w:cs="Times New Roman"/>
        </w:rPr>
        <w:t xml:space="preserve">. По результатам мониторинга установлен, </w:t>
      </w:r>
      <w:proofErr w:type="gramStart"/>
      <w:r w:rsidRPr="00764646">
        <w:rPr>
          <w:rFonts w:cs="Times New Roman"/>
        </w:rPr>
        <w:t>что  значение</w:t>
      </w:r>
      <w:proofErr w:type="gramEnd"/>
      <w:r w:rsidRPr="00764646">
        <w:rPr>
          <w:rFonts w:cs="Times New Roman"/>
        </w:rPr>
        <w:t xml:space="preserve"> показателя "Производство скота и птицы на убой в хозяйствах всех категорий" остается в районе 10 тыс. тонн ежегодно.</w:t>
      </w:r>
    </w:p>
    <w:p w:rsidR="002948BE" w:rsidRPr="003B48BE" w:rsidRDefault="002948BE" w:rsidP="00FE4282">
      <w:pPr>
        <w:ind w:firstLine="540"/>
        <w:jc w:val="both"/>
        <w:rPr>
          <w:rFonts w:cs="Times New Roman"/>
        </w:rPr>
      </w:pPr>
      <w:r w:rsidRPr="002948BE">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53125A" w:rsidRPr="003B48BE" w:rsidRDefault="002948BE" w:rsidP="00FE4282">
      <w:pPr>
        <w:ind w:firstLine="540"/>
        <w:jc w:val="both"/>
        <w:rPr>
          <w:rFonts w:cs="Times New Roman"/>
          <w:b/>
        </w:rPr>
      </w:pPr>
      <w:r w:rsidRPr="002948BE">
        <w:rPr>
          <w:rFonts w:cs="Times New Roman"/>
        </w:rPr>
        <w:t xml:space="preserve">Реализуемый группой компаний «Виктория </w:t>
      </w:r>
      <w:proofErr w:type="spellStart"/>
      <w:r w:rsidRPr="002948BE">
        <w:rPr>
          <w:rFonts w:cs="Times New Roman"/>
        </w:rPr>
        <w:t>Эстейт</w:t>
      </w:r>
      <w:proofErr w:type="spellEnd"/>
      <w:r w:rsidRPr="002948BE">
        <w:rPr>
          <w:rFonts w:cs="Times New Roman"/>
        </w:rPr>
        <w:t xml:space="preserve">» на территории городского округа проект по созданию и развитию на площадях </w:t>
      </w:r>
      <w:proofErr w:type="spellStart"/>
      <w:r w:rsidRPr="002948BE">
        <w:rPr>
          <w:rFonts w:cs="Times New Roman"/>
        </w:rPr>
        <w:t>агропарка</w:t>
      </w:r>
      <w:proofErr w:type="spellEnd"/>
      <w:r w:rsidRPr="002948BE">
        <w:rPr>
          <w:rFonts w:cs="Times New Roman"/>
        </w:rPr>
        <w:t xml:space="preserve"> </w:t>
      </w:r>
      <w:proofErr w:type="spellStart"/>
      <w:r w:rsidRPr="002948BE">
        <w:rPr>
          <w:rFonts w:cs="Times New Roman"/>
        </w:rPr>
        <w:t>VictoriaIndustrialPark</w:t>
      </w:r>
      <w:proofErr w:type="spellEnd"/>
      <w:r w:rsidRPr="002948BE">
        <w:rPr>
          <w:rFonts w:cs="Times New Roman"/>
        </w:rPr>
        <w:t xml:space="preserve"> тепличного комплекса позволит круглогодично выращивать овощные культуры в закрытом грунте. В настоящее время на территории </w:t>
      </w:r>
      <w:proofErr w:type="spellStart"/>
      <w:r w:rsidRPr="002948BE">
        <w:rPr>
          <w:rFonts w:cs="Times New Roman"/>
        </w:rPr>
        <w:t>агропарка</w:t>
      </w:r>
      <w:proofErr w:type="spellEnd"/>
      <w:r w:rsidRPr="002948BE">
        <w:rPr>
          <w:rFonts w:cs="Times New Roman"/>
        </w:rPr>
        <w:t xml:space="preserve"> реализуется проекты по: - строительству тепличного комплекса второй очереди; - строительству грибного комплекса ООО «ТД «Богородские овощи»; -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 xml:space="preserve">В связи с присоединением с 01.01.2018 к городскому округу Электросталь территории сельского поселения </w:t>
      </w:r>
      <w:proofErr w:type="spellStart"/>
      <w:r w:rsidRPr="002948BE">
        <w:rPr>
          <w:rFonts w:cs="Times New Roman"/>
        </w:rPr>
        <w:t>Степановское</w:t>
      </w:r>
      <w:proofErr w:type="spellEnd"/>
      <w:r w:rsidRPr="002948BE">
        <w:rPr>
          <w:rFonts w:cs="Times New Roman"/>
        </w:rPr>
        <w:t xml:space="preserve"> Ногинского муниципального района, протяжённость муниципальных автомобильных дорог в городском округе увеличилась и составляет 156,3 километров, площадью дорожного покрытия 1199,6  тысяч квадратных метров. Все муниципальные автомобильные дороги имеют усовершенствованное покрытие.  По состоянию на 1 января 2018 года 35,8  километра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241,1млн. рублей, из них из бюджета Московской области – 221 млн. рублей. 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тыс.метров. В 2018 году проведены работы по летнему и зимнему содержанию муниципальных автомобильных дорог и элементов их обустройства на сумму 79,9 млн. рублей. В период зимней эксплуатации с улиц города вывезено на </w:t>
      </w:r>
      <w:proofErr w:type="spellStart"/>
      <w:r w:rsidRPr="002948BE">
        <w:rPr>
          <w:rFonts w:cs="Times New Roman"/>
        </w:rPr>
        <w:t>снегосвалки</w:t>
      </w:r>
      <w:proofErr w:type="spellEnd"/>
      <w:r w:rsidRPr="002948BE">
        <w:rPr>
          <w:rFonts w:cs="Times New Roman"/>
        </w:rPr>
        <w:t xml:space="preserve">  120 тыс. куб. метров снега. Использовано 12,1 тыс. куб. метров </w:t>
      </w:r>
      <w:proofErr w:type="spellStart"/>
      <w:r w:rsidRPr="002948BE">
        <w:rPr>
          <w:rFonts w:cs="Times New Roman"/>
        </w:rPr>
        <w:t>песко</w:t>
      </w:r>
      <w:proofErr w:type="spellEnd"/>
      <w:r w:rsidRPr="002948BE">
        <w:rPr>
          <w:rFonts w:cs="Times New Roman"/>
        </w:rPr>
        <w:t>-соляной смеси для обработки улиц города в периоды снегопадов и образования гололедицы.</w:t>
      </w:r>
    </w:p>
    <w:p w:rsidR="002948BE" w:rsidRDefault="002948BE" w:rsidP="00FE4282">
      <w:pPr>
        <w:ind w:firstLine="540"/>
        <w:jc w:val="both"/>
        <w:rPr>
          <w:rFonts w:cs="Times New Roman"/>
        </w:rPr>
      </w:pPr>
      <w:r w:rsidRPr="002948BE">
        <w:rPr>
          <w:rFonts w:cs="Times New Roman"/>
        </w:rPr>
        <w:t>В прогнозном периоде строительство и реконструкция объектов дорожно- транспортной инфраструктуры не планируется. 100% дорог имеют усовершенствованное покрытие. В этой связи  увеличение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По состоянию на 1 января 2019 года в городском округе Электросталь Московской области функционировало 5291 субъект малого и среднего предпринимательства (далее – МСП), в том числе: 2283 юридических лица, 3008 ИП. На тысячу жителей муниципального образования приходится 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2018 год составил 25,5 млрд.руб.,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 xml:space="preserve">В 2018 году наблюдается рост средних предприятий по отношению к 2017 году. Данная ситуация обусловлена регулярной работой, проводимой Администрацией г.о.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w:t>
      </w:r>
      <w:proofErr w:type="spellStart"/>
      <w:r w:rsidRPr="00DA3CB8">
        <w:rPr>
          <w:rFonts w:cs="Times New Roman"/>
        </w:rPr>
        <w:t>семинарыв</w:t>
      </w:r>
      <w:proofErr w:type="spellEnd"/>
      <w:r w:rsidRPr="00DA3CB8">
        <w:rPr>
          <w:rFonts w:cs="Times New Roman"/>
        </w:rPr>
        <w:t xml:space="preserve"> рамках которых было обучено 300 человек, также на регулярной основе проводится консультирование субъектов малого и среднего предпринимательства.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города создан </w:t>
      </w:r>
      <w:proofErr w:type="spellStart"/>
      <w:r w:rsidRPr="00DA3CB8">
        <w:rPr>
          <w:rFonts w:cs="Times New Roman"/>
        </w:rPr>
        <w:t>коворкинг</w:t>
      </w:r>
      <w:proofErr w:type="spellEnd"/>
      <w:r w:rsidRPr="00DA3CB8">
        <w:rPr>
          <w:rFonts w:cs="Times New Roman"/>
        </w:rPr>
        <w:t xml:space="preserve">-центр. В 2019 году на базе созданного </w:t>
      </w:r>
      <w:proofErr w:type="spellStart"/>
      <w:r w:rsidRPr="00DA3CB8">
        <w:rPr>
          <w:rFonts w:cs="Times New Roman"/>
        </w:rPr>
        <w:t>коворкинг</w:t>
      </w:r>
      <w:proofErr w:type="spellEnd"/>
      <w:r w:rsidRPr="00DA3CB8">
        <w:rPr>
          <w:rFonts w:cs="Times New Roman"/>
        </w:rPr>
        <w:t xml:space="preserve">-центра будут проводиться регулярные встречи Администрации г.о. Электросталь с </w:t>
      </w:r>
      <w:proofErr w:type="spellStart"/>
      <w:r w:rsidRPr="00DA3CB8">
        <w:rPr>
          <w:rFonts w:cs="Times New Roman"/>
        </w:rPr>
        <w:t>предпринимтельским</w:t>
      </w:r>
      <w:proofErr w:type="spellEnd"/>
      <w:r w:rsidRPr="00DA3CB8">
        <w:rPr>
          <w:rFonts w:cs="Times New Roman"/>
        </w:rPr>
        <w:t xml:space="preserve"> сообществом.  В настоящее время прорабатывается вопрос с</w:t>
      </w:r>
      <w:r>
        <w:rPr>
          <w:rFonts w:cs="Times New Roman"/>
        </w:rPr>
        <w:t xml:space="preserve">отрудничества с </w:t>
      </w:r>
      <w:proofErr w:type="spellStart"/>
      <w:r>
        <w:rPr>
          <w:rFonts w:cs="Times New Roman"/>
        </w:rPr>
        <w:t>госкорпорацией</w:t>
      </w:r>
      <w:proofErr w:type="spellEnd"/>
      <w:r>
        <w:rPr>
          <w:rFonts w:cs="Times New Roman"/>
        </w:rPr>
        <w:t xml:space="preserve"> «</w:t>
      </w:r>
      <w:proofErr w:type="spellStart"/>
      <w:r>
        <w:rPr>
          <w:rFonts w:cs="Times New Roman"/>
        </w:rPr>
        <w:t>Росатом</w:t>
      </w:r>
      <w:proofErr w:type="spellEnd"/>
      <w:r>
        <w:rPr>
          <w:rFonts w:cs="Times New Roman"/>
        </w:rPr>
        <w:t>»</w:t>
      </w:r>
      <w:r w:rsidRPr="00DA3CB8">
        <w:rPr>
          <w:rFonts w:cs="Times New Roman"/>
        </w:rPr>
        <w:t xml:space="preserve"> с целью применения кейсов корпорации для развития бизнеса в городском округе.</w:t>
      </w: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FE4282" w:rsidRPr="00400D86" w:rsidRDefault="00FE4282" w:rsidP="00400D86">
      <w:pPr>
        <w:ind w:firstLine="567"/>
        <w:jc w:val="both"/>
        <w:rPr>
          <w:rFonts w:cs="Times New Roman"/>
        </w:rPr>
      </w:pPr>
    </w:p>
    <w:p w:rsidR="00695D3C" w:rsidRDefault="00DC292A" w:rsidP="00FE4282">
      <w:pPr>
        <w:ind w:firstLine="567"/>
        <w:rPr>
          <w:rFonts w:cs="Times New Roman"/>
        </w:rPr>
      </w:pPr>
      <w:r w:rsidRPr="00DC292A">
        <w:rPr>
          <w:rFonts w:cs="Times New Roman"/>
        </w:rPr>
        <w:t xml:space="preserve">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4 325,03 млн.руб., по предприятиям малого бизнеса – 2 734,8 млн.руб.  Значительный рост инвестиций в 2018 году произошел в результате присоединения к городскому округу бывшего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DC292A" w:rsidRDefault="00DC292A" w:rsidP="00DC292A">
      <w:pPr>
        <w:ind w:firstLine="567"/>
        <w:jc w:val="both"/>
        <w:rPr>
          <w:rFonts w:cs="Times New Roman"/>
        </w:rPr>
      </w:pPr>
      <w:r w:rsidRPr="00DC292A">
        <w:rPr>
          <w:rFonts w:cs="Times New Roman"/>
        </w:rPr>
        <w:t xml:space="preserve">Факторы влияющие на динамику показателя:   Сильные стороны: Транспортная доступность к г. Москве и соседним муниципальным образованиям, развитая транспортная инфраструктура; высокоразвитое обрабатывающее промышленное производство;  наличие инфраструктуры поддержки предпринимательства;  Возможности: вовлечение в оборот свободных площадей крупных предприятий города, в т.ч. для размещения предприятий малого и среднего бизнеса; развитие сельских территорий;  Слабые стороны: снижение доли трудоспособного населения; масштабная трудовая миграция в Москву и соседние муниципальные образования;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Угрозы: неблагоприятная экологическая обстановка; конкуренция за инвесторов с другими муниципальными образованиями Московской области; снижение темпов экономического развития;  Вывод: На территории городского округа Электросталь в «старых» границах (до присоединения территории сельского поселения </w:t>
      </w:r>
      <w:proofErr w:type="spellStart"/>
      <w:r w:rsidRPr="00DC292A">
        <w:rPr>
          <w:rFonts w:cs="Times New Roman"/>
        </w:rPr>
        <w:t>Степановское</w:t>
      </w:r>
      <w:proofErr w:type="spellEnd"/>
      <w:r w:rsidRPr="00DC292A">
        <w:rPr>
          <w:rFonts w:cs="Times New Roman"/>
        </w:rPr>
        <w:t xml:space="preserve">),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
    <w:p w:rsidR="00DC292A" w:rsidRDefault="00DC292A" w:rsidP="00DC292A">
      <w:pPr>
        <w:ind w:firstLine="567"/>
        <w:jc w:val="both"/>
        <w:rPr>
          <w:rFonts w:cs="Times New Roman"/>
        </w:rPr>
      </w:pPr>
      <w:r w:rsidRPr="00DC292A">
        <w:rPr>
          <w:rFonts w:cs="Times New Roman"/>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t xml:space="preserve">- информирование предпринимателей о мерах государственной и муниципальной поддержки.  </w:t>
      </w:r>
    </w:p>
    <w:p w:rsidR="00DC292A" w:rsidRPr="00DC292A" w:rsidRDefault="00DC292A" w:rsidP="00DC292A">
      <w:pPr>
        <w:ind w:firstLine="567"/>
        <w:jc w:val="both"/>
        <w:rPr>
          <w:rFonts w:cs="Times New Roman"/>
        </w:rPr>
      </w:pPr>
      <w:r w:rsidRPr="00DC292A">
        <w:rPr>
          <w:rFonts w:cs="Times New Roman"/>
        </w:rPr>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CC47F5" w:rsidRDefault="00532B35" w:rsidP="00FE4282">
      <w:pPr>
        <w:ind w:firstLine="567"/>
        <w:jc w:val="both"/>
        <w:rPr>
          <w:rFonts w:cs="Times New Roman"/>
        </w:rPr>
      </w:pPr>
      <w:r w:rsidRPr="00532B35">
        <w:rPr>
          <w:rFonts w:cs="Times New Roman"/>
        </w:rPr>
        <w:t xml:space="preserve">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34,2 тыс.кв.метров жилья, в том числе 6,2 тыс.кв.метров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w:t>
      </w:r>
      <w:proofErr w:type="spellStart"/>
      <w:r w:rsidRPr="00532B35">
        <w:rPr>
          <w:rFonts w:cs="Times New Roman"/>
        </w:rPr>
        <w:t>агропарка</w:t>
      </w:r>
      <w:proofErr w:type="spellEnd"/>
      <w:r w:rsidRPr="00532B35">
        <w:rPr>
          <w:rFonts w:cs="Times New Roman"/>
        </w:rPr>
        <w:t xml:space="preserve"> </w:t>
      </w:r>
      <w:proofErr w:type="spellStart"/>
      <w:r w:rsidRPr="00532B35">
        <w:rPr>
          <w:rFonts w:cs="Times New Roman"/>
        </w:rPr>
        <w:t>VictoriaIndustrialPark</w:t>
      </w:r>
      <w:proofErr w:type="spellEnd"/>
      <w:r w:rsidRPr="00532B35">
        <w:rPr>
          <w:rFonts w:cs="Times New Roman"/>
        </w:rPr>
        <w:t xml:space="preserve"> осуществляется активное строительство тепличных комплексов по выращиванию овощей. Все </w:t>
      </w:r>
      <w:proofErr w:type="spellStart"/>
      <w:proofErr w:type="gramStart"/>
      <w:r w:rsidRPr="00532B35">
        <w:rPr>
          <w:rFonts w:cs="Times New Roman"/>
        </w:rPr>
        <w:t>это,в</w:t>
      </w:r>
      <w:proofErr w:type="spellEnd"/>
      <w:proofErr w:type="gramEnd"/>
      <w:r w:rsidRPr="00532B35">
        <w:rPr>
          <w:rFonts w:cs="Times New Roman"/>
        </w:rPr>
        <w:t xml:space="preserve">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 xml:space="preserve">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системообразующего предприятия АО «МЗ «Электросталь»; «ЭЛКО» на базе предприятия ЗАО ТПК «ЭЛКО»; </w:t>
      </w:r>
      <w:proofErr w:type="spellStart"/>
      <w:r w:rsidRPr="00532B35">
        <w:rPr>
          <w:rFonts w:cs="Times New Roman"/>
        </w:rPr>
        <w:t>VictoriaIndustrialPark</w:t>
      </w:r>
      <w:proofErr w:type="spellEnd"/>
      <w:r w:rsidRPr="00532B35">
        <w:rPr>
          <w:rFonts w:cs="Times New Roman"/>
        </w:rPr>
        <w:t>.</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 xml:space="preserve">Общая площадь жилых помещений в городском округе, введенная в </w:t>
      </w:r>
      <w:proofErr w:type="gramStart"/>
      <w:r w:rsidRPr="00532B35">
        <w:rPr>
          <w:rFonts w:cs="Times New Roman"/>
        </w:rPr>
        <w:t>действие  в</w:t>
      </w:r>
      <w:proofErr w:type="gramEnd"/>
      <w:r w:rsidRPr="00532B35">
        <w:rPr>
          <w:rFonts w:cs="Times New Roman"/>
        </w:rPr>
        <w:t xml:space="preserve"> 2018 году составила 7,395 тыс. кв. метров, фактическая стоимость введенных жилых домов составила 465,2 млн.руб., это многоквартирный жилой дом № 6 по адресу: Московская область, г.о. Электросталь, ул. Захарченко застройщиком АО «СЗ «Виктория </w:t>
      </w:r>
      <w:proofErr w:type="spellStart"/>
      <w:r w:rsidRPr="00532B35">
        <w:rPr>
          <w:rFonts w:cs="Times New Roman"/>
        </w:rPr>
        <w:t>Девелопмент</w:t>
      </w:r>
      <w:proofErr w:type="spellEnd"/>
      <w:r w:rsidRPr="00532B35">
        <w:rPr>
          <w:rFonts w:cs="Times New Roman"/>
        </w:rPr>
        <w:t>».</w:t>
      </w:r>
    </w:p>
    <w:p w:rsidR="00532B35" w:rsidRDefault="00532B35" w:rsidP="00FE4282">
      <w:pPr>
        <w:ind w:firstLine="567"/>
        <w:jc w:val="both"/>
        <w:rPr>
          <w:rFonts w:cs="Times New Roman"/>
        </w:rPr>
      </w:pPr>
      <w:r w:rsidRPr="00532B35">
        <w:rPr>
          <w:rFonts w:cs="Times New Roman"/>
        </w:rPr>
        <w:t xml:space="preserve">В 2019 году планируется ввести в эксплуатацию 28 </w:t>
      </w:r>
      <w:proofErr w:type="spellStart"/>
      <w:r w:rsidRPr="00532B35">
        <w:rPr>
          <w:rFonts w:cs="Times New Roman"/>
        </w:rPr>
        <w:t>твс</w:t>
      </w:r>
      <w:proofErr w:type="spellEnd"/>
      <w:r w:rsidRPr="00532B35">
        <w:rPr>
          <w:rFonts w:cs="Times New Roman"/>
        </w:rPr>
        <w:t xml:space="preserve">. кв.м. жилой площади, в том числе: 15 641,8 кв.м. жилой дом № 25-26, ул. </w:t>
      </w:r>
      <w:proofErr w:type="spellStart"/>
      <w:r w:rsidRPr="00532B35">
        <w:rPr>
          <w:rFonts w:cs="Times New Roman"/>
        </w:rPr>
        <w:t>Ялагина</w:t>
      </w:r>
      <w:proofErr w:type="spellEnd"/>
      <w:r w:rsidRPr="00532B35">
        <w:rPr>
          <w:rFonts w:cs="Times New Roman"/>
        </w:rPr>
        <w:t xml:space="preserve"> застройщиком ЗАО «Ойкумена»;  9 846,10 кв.м. жилой между Ногинским шоссе и проспектом Ленина позиция №1, застройщик АО «ЮИТ Московский регион».  </w:t>
      </w:r>
      <w:proofErr w:type="gramStart"/>
      <w:r w:rsidRPr="00532B35">
        <w:rPr>
          <w:rFonts w:cs="Times New Roman"/>
        </w:rPr>
        <w:t>В  2020</w:t>
      </w:r>
      <w:proofErr w:type="gramEnd"/>
      <w:r w:rsidRPr="00532B35">
        <w:rPr>
          <w:rFonts w:cs="Times New Roman"/>
        </w:rPr>
        <w:t xml:space="preserve"> году планируется ввести в эксплуатацию жилой площади всего 44,3 тыс. кв.м., в том числе: 9 173,40 кв.м. - многоквартирный жилой квартал между Ногинским шоссе и проспектом Ленина позиция № 2 застройщик АО «ЮИТ Московский регион»;  32 660, 8 кв.м. - многоквартирный жилой дом № 4 (стр.) ул. Захарченко застройщик, АО «СЗ «Виктория </w:t>
      </w:r>
      <w:proofErr w:type="spellStart"/>
      <w:r w:rsidRPr="00532B35">
        <w:rPr>
          <w:rFonts w:cs="Times New Roman"/>
        </w:rPr>
        <w:t>Девелопмент</w:t>
      </w:r>
      <w:proofErr w:type="spellEnd"/>
      <w:r w:rsidRPr="00532B35">
        <w:rPr>
          <w:rFonts w:cs="Times New Roman"/>
        </w:rPr>
        <w:t>».  В 2021 году- 2,3 тыс.кв.м, 2022 - 8,5 тыс.кв.м.</w:t>
      </w:r>
    </w:p>
    <w:p w:rsidR="00532B35" w:rsidRDefault="00532B35" w:rsidP="00FE4282">
      <w:pPr>
        <w:ind w:firstLine="567"/>
        <w:jc w:val="both"/>
        <w:rPr>
          <w:rFonts w:cs="Times New Roman"/>
        </w:rPr>
      </w:pPr>
      <w:r w:rsidRPr="00532B35">
        <w:rPr>
          <w:rFonts w:cs="Times New Roman"/>
        </w:rPr>
        <w:t xml:space="preserve">После присоединения в 2018 году </w:t>
      </w:r>
      <w:proofErr w:type="spellStart"/>
      <w:r w:rsidRPr="00532B35">
        <w:rPr>
          <w:rFonts w:cs="Times New Roman"/>
        </w:rPr>
        <w:t>с.п.Степановское</w:t>
      </w:r>
      <w:proofErr w:type="spellEnd"/>
      <w:r w:rsidRPr="00532B35">
        <w:rPr>
          <w:rFonts w:cs="Times New Roman"/>
        </w:rPr>
        <w:t xml:space="preserve"> территория городского округа Электросталь дополняется территорией сельской застройки и открытых </w:t>
      </w:r>
      <w:proofErr w:type="spellStart"/>
      <w:r w:rsidRPr="00532B35">
        <w:rPr>
          <w:rFonts w:cs="Times New Roman"/>
        </w:rPr>
        <w:t>агроландшафтов</w:t>
      </w:r>
      <w:proofErr w:type="spellEnd"/>
      <w:r w:rsidRPr="00532B35">
        <w:rPr>
          <w:rFonts w:cs="Times New Roman"/>
        </w:rPr>
        <w:t>,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 xml:space="preserve">Переселение граждан из аварийного жилищного фонда в Московской </w:t>
      </w:r>
      <w:proofErr w:type="gramStart"/>
      <w:r w:rsidRPr="00532B35">
        <w:rPr>
          <w:rFonts w:cs="Times New Roman"/>
        </w:rPr>
        <w:t>области  на</w:t>
      </w:r>
      <w:proofErr w:type="gramEnd"/>
      <w:r w:rsidRPr="00532B35">
        <w:rPr>
          <w:rFonts w:cs="Times New Roman"/>
        </w:rPr>
        <w:t xml:space="preserve"> 2019-2025 </w:t>
      </w:r>
      <w:proofErr w:type="spellStart"/>
      <w:r w:rsidRPr="00532B35">
        <w:rPr>
          <w:rFonts w:cs="Times New Roman"/>
        </w:rPr>
        <w:t>гг</w:t>
      </w:r>
      <w:proofErr w:type="spellEnd"/>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CC47F5" w:rsidRDefault="00614C61" w:rsidP="00FE4282">
      <w:pPr>
        <w:ind w:firstLine="567"/>
        <w:jc w:val="both"/>
        <w:rPr>
          <w:rFonts w:cs="Times New Roman"/>
        </w:rPr>
      </w:pPr>
      <w:r w:rsidRPr="00614C61">
        <w:rPr>
          <w:rFonts w:cs="Times New Roman"/>
        </w:rPr>
        <w:t xml:space="preserve">Прибыль прибыльных организаций города </w:t>
      </w:r>
      <w:proofErr w:type="gramStart"/>
      <w:r w:rsidRPr="00614C61">
        <w:rPr>
          <w:rFonts w:cs="Times New Roman"/>
        </w:rPr>
        <w:t>в  2018</w:t>
      </w:r>
      <w:proofErr w:type="gramEnd"/>
      <w:r w:rsidRPr="00614C61">
        <w:rPr>
          <w:rFonts w:cs="Times New Roman"/>
        </w:rPr>
        <w:t xml:space="preserve"> году составила  6,245 млрд.рублей, из них крупных и средних  организаций – 4,046 млрд.рублей, что составляет 64,8 % в общем объеме прибыли, полученной предприятиями и организациями городского округа. Прибыль малых предприятий составила 2,2 млрд.руб.(35,2 %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млрд.рублей.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млрд рублей, что на 27,5% ниже значения показателя за 2017 год.</w:t>
      </w:r>
    </w:p>
    <w:p w:rsidR="00614C61" w:rsidRPr="00614C61" w:rsidRDefault="00614C61" w:rsidP="00FE4282">
      <w:pPr>
        <w:ind w:firstLine="567"/>
        <w:jc w:val="both"/>
        <w:rPr>
          <w:rFonts w:cs="Times New Roman"/>
        </w:rPr>
      </w:pPr>
      <w:r w:rsidRPr="00614C61">
        <w:rPr>
          <w:rFonts w:cs="Times New Roman"/>
        </w:rPr>
        <w:t>Важными факторами роста прибыли в отчетном периоде являются: рост объема производимой продукции на предприятиях городского округа,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614C61" w:rsidRPr="00614C61" w:rsidRDefault="00614C61" w:rsidP="00FE4282">
      <w:pPr>
        <w:ind w:firstLine="567"/>
        <w:jc w:val="both"/>
        <w:rPr>
          <w:rFonts w:cs="Times New Roman"/>
        </w:rPr>
      </w:pPr>
      <w:r w:rsidRPr="00614C61">
        <w:rPr>
          <w:rFonts w:cs="Times New Roman"/>
        </w:rPr>
        <w:t>Факторы, влияющие на увеличение прибыли предприятия: снижение себестоимость продукции; внедрение бюджетирования и финансового планирования; снижение расходов; открытие новых рынков сбыта; конкурентное преимущество; увеличение объемов реализуемой продукции; продажа или сдача в 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CC47F5" w:rsidRPr="00614C61" w:rsidRDefault="00CC47F5" w:rsidP="00113AAA">
      <w:pPr>
        <w:ind w:firstLine="567"/>
        <w:jc w:val="both"/>
        <w:rPr>
          <w:rFonts w:cs="Times New Roman"/>
        </w:rPr>
      </w:pPr>
      <w:r w:rsidRPr="00614C61">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w:t>
      </w:r>
      <w:proofErr w:type="gramStart"/>
      <w:r w:rsidRPr="00614C61">
        <w:rPr>
          <w:rFonts w:cs="Times New Roman"/>
        </w:rPr>
        <w:t>города  трудоспос</w:t>
      </w:r>
      <w:r w:rsidR="00113AAA" w:rsidRPr="00614C61">
        <w:rPr>
          <w:rFonts w:cs="Times New Roman"/>
        </w:rPr>
        <w:t>о</w:t>
      </w:r>
      <w:r w:rsidRPr="00614C61">
        <w:rPr>
          <w:rFonts w:cs="Times New Roman"/>
        </w:rPr>
        <w:t>бного</w:t>
      </w:r>
      <w:proofErr w:type="gramEnd"/>
      <w:r w:rsidRPr="00614C61">
        <w:rPr>
          <w:rFonts w:cs="Times New Roman"/>
        </w:rPr>
        <w:t xml:space="preserve"> возраста превышает 91 тыс.человек, а занято в экономике</w:t>
      </w:r>
      <w:r w:rsidR="00113AAA" w:rsidRPr="00614C61">
        <w:rPr>
          <w:rFonts w:cs="Times New Roman"/>
        </w:rPr>
        <w:t xml:space="preserve"> около 50 тыс.человек. Почти по</w:t>
      </w:r>
      <w:r w:rsidRPr="00614C61">
        <w:rPr>
          <w:rFonts w:cs="Times New Roman"/>
        </w:rPr>
        <w:t xml:space="preserve">ловина трудоспособного населения города выезжает на работу в </w:t>
      </w:r>
      <w:proofErr w:type="spellStart"/>
      <w:r w:rsidRPr="00614C61">
        <w:rPr>
          <w:rFonts w:cs="Times New Roman"/>
        </w:rPr>
        <w:t>близлежащайшие</w:t>
      </w:r>
      <w:proofErr w:type="spellEnd"/>
      <w:r w:rsidRPr="00614C61">
        <w:rPr>
          <w:rFonts w:cs="Times New Roman"/>
        </w:rPr>
        <w:t xml:space="preserve"> города, в основном в Москву.  Основными предприятиями, определяющими динамику и развитие рынка труда являются предпр</w:t>
      </w:r>
      <w:r w:rsidR="00113AAA" w:rsidRPr="00614C61">
        <w:rPr>
          <w:rFonts w:cs="Times New Roman"/>
        </w:rPr>
        <w:t xml:space="preserve">иятия промышленного </w:t>
      </w:r>
      <w:proofErr w:type="gramStart"/>
      <w:r w:rsidR="00113AAA" w:rsidRPr="00614C61">
        <w:rPr>
          <w:rFonts w:cs="Times New Roman"/>
        </w:rPr>
        <w:t>комплекса:  ПАО</w:t>
      </w:r>
      <w:proofErr w:type="gramEnd"/>
      <w:r w:rsidR="00113AAA" w:rsidRPr="00614C61">
        <w:rPr>
          <w:rFonts w:cs="Times New Roman"/>
        </w:rPr>
        <w:t xml:space="preserve">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w:t>
      </w:r>
      <w:proofErr w:type="spellStart"/>
      <w:r w:rsidR="00113AAA" w:rsidRPr="00614C61">
        <w:rPr>
          <w:rFonts w:cs="Times New Roman"/>
        </w:rPr>
        <w:t>Рибер</w:t>
      </w:r>
      <w:proofErr w:type="spellEnd"/>
      <w:r w:rsidR="00113AAA" w:rsidRPr="00614C61">
        <w:rPr>
          <w:rFonts w:cs="Times New Roman"/>
        </w:rPr>
        <w:t xml:space="preserve"> энд Сан Раша </w:t>
      </w:r>
      <w:proofErr w:type="spellStart"/>
      <w:r w:rsidR="00113AAA" w:rsidRPr="00614C61">
        <w:rPr>
          <w:rFonts w:cs="Times New Roman"/>
        </w:rPr>
        <w:t>Продакшн</w:t>
      </w:r>
      <w:proofErr w:type="spellEnd"/>
      <w:r w:rsidR="00113AAA" w:rsidRPr="00614C61">
        <w:rPr>
          <w:rFonts w:cs="Times New Roman"/>
        </w:rPr>
        <w:t>»</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«Агроторг», ОП ООО «</w:t>
      </w:r>
      <w:proofErr w:type="spellStart"/>
      <w:r w:rsidRPr="00614C61">
        <w:rPr>
          <w:rFonts w:cs="Times New Roman"/>
        </w:rPr>
        <w:t>Гипергл</w:t>
      </w:r>
      <w:r w:rsidR="00113AAA" w:rsidRPr="00614C61">
        <w:rPr>
          <w:rFonts w:cs="Times New Roman"/>
        </w:rPr>
        <w:t>обус</w:t>
      </w:r>
      <w:proofErr w:type="spellEnd"/>
      <w:r w:rsidR="00113AAA" w:rsidRPr="00614C61">
        <w:rPr>
          <w:rFonts w:cs="Times New Roman"/>
        </w:rPr>
        <w:t>»</w:t>
      </w:r>
      <w:r w:rsidRPr="00614C61">
        <w:rPr>
          <w:rFonts w:cs="Times New Roman"/>
        </w:rPr>
        <w:t xml:space="preserve">. Наряду с крупнейшими промышленными предприятиями на территории городского округа осуществляют деятельно, </w:t>
      </w:r>
      <w:r w:rsidR="00113AAA" w:rsidRPr="00614C61">
        <w:rPr>
          <w:rFonts w:cs="Times New Roman"/>
        </w:rPr>
        <w:t>а,</w:t>
      </w:r>
      <w:r w:rsidRPr="00614C61">
        <w:rPr>
          <w:rFonts w:cs="Times New Roman"/>
        </w:rPr>
        <w:t xml:space="preserve"> </w:t>
      </w:r>
      <w:proofErr w:type="gramStart"/>
      <w:r w:rsidRPr="00614C61">
        <w:rPr>
          <w:rFonts w:cs="Times New Roman"/>
        </w:rPr>
        <w:t>следовательно</w:t>
      </w:r>
      <w:proofErr w:type="gramEnd"/>
      <w:r w:rsidRPr="00614C61">
        <w:rPr>
          <w:rFonts w:cs="Times New Roman"/>
        </w:rPr>
        <w:t xml:space="preserve"> и обеспечивают рабочими местами, 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 xml:space="preserve">на предприятиях и в организация городского округа Электросталь было создано 338 рабочих мест, в том числе: ПАО «МСЗ» - 207 </w:t>
      </w:r>
      <w:proofErr w:type="spellStart"/>
      <w:r w:rsidRPr="00614C61">
        <w:rPr>
          <w:rFonts w:cs="Times New Roman"/>
        </w:rPr>
        <w:t>раб.мест</w:t>
      </w:r>
      <w:proofErr w:type="spellEnd"/>
      <w:r w:rsidRPr="00614C61">
        <w:rPr>
          <w:rFonts w:cs="Times New Roman"/>
        </w:rPr>
        <w:t xml:space="preserve">, ОАО «ЭЗТМ»  - 5, АО «502 ЗРВТИ»  - 2, АО «СЗ «Виктория </w:t>
      </w:r>
      <w:proofErr w:type="spellStart"/>
      <w:r w:rsidRPr="00614C61">
        <w:rPr>
          <w:rFonts w:cs="Times New Roman"/>
        </w:rPr>
        <w:t>Девелопмент</w:t>
      </w:r>
      <w:proofErr w:type="spellEnd"/>
      <w:r w:rsidRPr="00614C61">
        <w:rPr>
          <w:rFonts w:cs="Times New Roman"/>
        </w:rPr>
        <w:t>» - 23, ТСБ ОАО «Контракт» - 2, ООО «</w:t>
      </w:r>
      <w:proofErr w:type="spellStart"/>
      <w:r w:rsidRPr="00614C61">
        <w:rPr>
          <w:rFonts w:cs="Times New Roman"/>
        </w:rPr>
        <w:t>Русинокс</w:t>
      </w:r>
      <w:proofErr w:type="spellEnd"/>
      <w:r w:rsidRPr="00614C61">
        <w:rPr>
          <w:rFonts w:cs="Times New Roman"/>
        </w:rPr>
        <w:t>» - 15, АО «ЭНПО «Неорганика» - 21, ООО «Альянс» - 6, АО «УПТК» - 5, АО «Дебют» - 2, АО НПО «</w:t>
      </w:r>
      <w:proofErr w:type="spellStart"/>
      <w:r w:rsidRPr="00614C61">
        <w:rPr>
          <w:rFonts w:cs="Times New Roman"/>
        </w:rPr>
        <w:t>Стройполимер</w:t>
      </w:r>
      <w:proofErr w:type="spellEnd"/>
      <w:r w:rsidRPr="00614C61">
        <w:rPr>
          <w:rFonts w:cs="Times New Roman"/>
        </w:rPr>
        <w:t>» - 9, ООО «Производственная компания «ЭКО-</w:t>
      </w:r>
      <w:proofErr w:type="spellStart"/>
      <w:r w:rsidRPr="00614C61">
        <w:rPr>
          <w:rFonts w:cs="Times New Roman"/>
        </w:rPr>
        <w:t>ВторРесурс</w:t>
      </w:r>
      <w:proofErr w:type="spellEnd"/>
      <w:r w:rsidRPr="00614C61">
        <w:rPr>
          <w:rFonts w:cs="Times New Roman"/>
        </w:rPr>
        <w:t xml:space="preserve">» - 30, другие сферы деятельности (социальная, государственная и муниципальная служба и пр.) – 11 </w:t>
      </w:r>
      <w:proofErr w:type="spellStart"/>
      <w:r w:rsidRPr="00614C61">
        <w:rPr>
          <w:rFonts w:cs="Times New Roman"/>
        </w:rPr>
        <w:t>раб.мест</w:t>
      </w:r>
      <w:proofErr w:type="spellEnd"/>
      <w:r w:rsidRPr="00614C61">
        <w:rPr>
          <w:rFonts w:cs="Times New Roman"/>
        </w:rPr>
        <w:t>.</w:t>
      </w:r>
    </w:p>
    <w:p w:rsidR="00614C61" w:rsidRPr="003532F8"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 xml:space="preserve">году на предприятиях промышленного комплекса городского округа </w:t>
      </w:r>
      <w:proofErr w:type="gramStart"/>
      <w:r w:rsidRPr="00614C61">
        <w:rPr>
          <w:rFonts w:cs="Times New Roman"/>
        </w:rPr>
        <w:t>планируется  к</w:t>
      </w:r>
      <w:proofErr w:type="gramEnd"/>
      <w:r w:rsidRPr="00614C61">
        <w:rPr>
          <w:rFonts w:cs="Times New Roman"/>
        </w:rPr>
        <w:t xml:space="preserve"> вводу 240 рабочих мест, в том числе: ПАО «МСЗ» - 25, «АО «502 ЗРВТИ»  - 7, АО «СЗ «Виктория </w:t>
      </w:r>
      <w:proofErr w:type="spellStart"/>
      <w:r w:rsidRPr="00614C61">
        <w:rPr>
          <w:rFonts w:cs="Times New Roman"/>
        </w:rPr>
        <w:t>Девелопмент</w:t>
      </w:r>
      <w:proofErr w:type="spellEnd"/>
      <w:r w:rsidRPr="00614C61">
        <w:rPr>
          <w:rFonts w:cs="Times New Roman"/>
        </w:rPr>
        <w:t>» - 5, ООО «Бета Гида» - 18, ТСБ ОАО»Контракт» - 1, АО «ЮИТ Московский регион» - 2, ООО «</w:t>
      </w:r>
      <w:proofErr w:type="spellStart"/>
      <w:r w:rsidRPr="00614C61">
        <w:rPr>
          <w:rFonts w:cs="Times New Roman"/>
        </w:rPr>
        <w:t>Русинокс</w:t>
      </w:r>
      <w:proofErr w:type="spellEnd"/>
      <w:r w:rsidRPr="00614C61">
        <w:rPr>
          <w:rFonts w:cs="Times New Roman"/>
        </w:rPr>
        <w:t>» - 5, АО «ЭНПО Неорганика» - 5, ЗАО «ТПК «ЭЛКО» - 1, АО «Дебют» - 1, ООО «Малахит» - 3, АО НПО «</w:t>
      </w:r>
      <w:proofErr w:type="spellStart"/>
      <w:r w:rsidRPr="00614C61">
        <w:rPr>
          <w:rFonts w:cs="Times New Roman"/>
        </w:rPr>
        <w:t>Стройполимер</w:t>
      </w:r>
      <w:proofErr w:type="spellEnd"/>
      <w:r w:rsidRPr="00614C61">
        <w:rPr>
          <w:rFonts w:cs="Times New Roman"/>
        </w:rPr>
        <w:t>» - 9, ООО «</w:t>
      </w:r>
      <w:proofErr w:type="spellStart"/>
      <w:r w:rsidRPr="00614C61">
        <w:rPr>
          <w:rFonts w:cs="Times New Roman"/>
        </w:rPr>
        <w:t>Русинокс</w:t>
      </w:r>
      <w:proofErr w:type="spellEnd"/>
      <w:r w:rsidRPr="00614C61">
        <w:rPr>
          <w:rFonts w:cs="Times New Roman"/>
        </w:rPr>
        <w:t>» - 5, компания «</w:t>
      </w:r>
      <w:proofErr w:type="spellStart"/>
      <w:r w:rsidRPr="00614C61">
        <w:rPr>
          <w:rFonts w:cs="Times New Roman"/>
        </w:rPr>
        <w:t>Бонолит</w:t>
      </w:r>
      <w:proofErr w:type="spellEnd"/>
      <w:r w:rsidRPr="00614C61">
        <w:rPr>
          <w:rFonts w:cs="Times New Roman"/>
        </w:rPr>
        <w:t xml:space="preserve">» - 150, и пр. В прогнозном периоде создание рабочих мест планируется за счет привлечения новых  резидентов на промышленные площадки города, развития индустриальных парков "Металлург", "ЭЛКО", реализации инвестиционных проектов ГК "Виктория </w:t>
      </w:r>
      <w:proofErr w:type="spellStart"/>
      <w:r w:rsidRPr="00614C61">
        <w:rPr>
          <w:rFonts w:cs="Times New Roman"/>
        </w:rPr>
        <w:t>Эстейт</w:t>
      </w:r>
      <w:proofErr w:type="spellEnd"/>
      <w:r w:rsidRPr="00614C61">
        <w:rPr>
          <w:rFonts w:cs="Times New Roman"/>
        </w:rPr>
        <w:t>" в сфере сельского хозяйства.</w:t>
      </w:r>
    </w:p>
    <w:p w:rsidR="00600070" w:rsidRDefault="00392F1A" w:rsidP="00392F1A">
      <w:pPr>
        <w:ind w:firstLine="540"/>
        <w:jc w:val="both"/>
        <w:rPr>
          <w:rFonts w:cs="Times New Roman"/>
        </w:rPr>
      </w:pPr>
      <w:r w:rsidRPr="00392F1A">
        <w:rPr>
          <w:rFonts w:cs="Times New Roman"/>
        </w:rPr>
        <w:t xml:space="preserve">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w:t>
      </w:r>
      <w:proofErr w:type="spellStart"/>
      <w:r w:rsidRPr="00392F1A">
        <w:rPr>
          <w:rFonts w:cs="Times New Roman"/>
        </w:rPr>
        <w:t>предпринимательства.Малый</w:t>
      </w:r>
      <w:proofErr w:type="spellEnd"/>
      <w:r w:rsidRPr="00392F1A">
        <w:rPr>
          <w:rFonts w:cs="Times New Roman"/>
        </w:rPr>
        <w:t xml:space="preserve"> бизнес в городском округе Электросталь представлен 195 малыми и средними предприятиями и 5015 </w:t>
      </w:r>
      <w:proofErr w:type="spellStart"/>
      <w:r w:rsidRPr="00392F1A">
        <w:rPr>
          <w:rFonts w:cs="Times New Roman"/>
        </w:rPr>
        <w:t>микропредприятиями.формируют</w:t>
      </w:r>
      <w:proofErr w:type="spellEnd"/>
      <w:r w:rsidRPr="00392F1A">
        <w:rPr>
          <w:rFonts w:cs="Times New Roman"/>
        </w:rPr>
        <w:t xml:space="preserve"> крупнейшие системообразующие предприятия, осуществляющих свою деятельность сфере обрабатывающего производства: – ПАО «Машиностроительный завод», входит в структуру Топливной компании «ТВЭЛ» </w:t>
      </w:r>
      <w:proofErr w:type="spellStart"/>
      <w:r w:rsidRPr="00392F1A">
        <w:rPr>
          <w:rFonts w:cs="Times New Roman"/>
        </w:rPr>
        <w:t>Госкорпорации</w:t>
      </w:r>
      <w:proofErr w:type="spellEnd"/>
      <w:r w:rsidRPr="00392F1A">
        <w:rPr>
          <w:rFonts w:cs="Times New Roman"/>
        </w:rPr>
        <w:t xml:space="preserve"> «</w:t>
      </w:r>
      <w:proofErr w:type="spellStart"/>
      <w:r w:rsidRPr="00392F1A">
        <w:rPr>
          <w:rFonts w:cs="Times New Roman"/>
        </w:rPr>
        <w:t>Росатом</w:t>
      </w:r>
      <w:proofErr w:type="spellEnd"/>
      <w:r w:rsidRPr="00392F1A">
        <w:rPr>
          <w:rFonts w:cs="Times New Roman"/>
        </w:rPr>
        <w:t>», вид деятельности: производство ядерного топлива;  – ОАО «Металлургический завод «Электросталь», вид деятельности: производство стали в слитках, способен выплавлять более 2000 марок высококачественной стали;  –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Кроме них, на территории городского округа осуществляют деятельность крупные предприятия: – ОАО «Электростальский химико-механический завод им. Н.Д.Зелинского», ранее входивший в корпорацию «</w:t>
      </w:r>
      <w:proofErr w:type="spellStart"/>
      <w:r w:rsidRPr="00392F1A">
        <w:rPr>
          <w:rFonts w:cs="Times New Roman"/>
        </w:rPr>
        <w:t>Спецзащита</w:t>
      </w:r>
      <w:proofErr w:type="spellEnd"/>
      <w:r w:rsidRPr="00392F1A">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 АО «НПО «Неорганика», вид деятельности: научные исследования и разработки в области естественных и технических наук; –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2018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 Основные предприятия малого предпринимательства в городском округе: Предприятия группы компаний </w:t>
      </w:r>
      <w:proofErr w:type="spellStart"/>
      <w:r w:rsidRPr="00392F1A">
        <w:rPr>
          <w:rFonts w:cs="Times New Roman"/>
        </w:rPr>
        <w:t>Тране</w:t>
      </w:r>
      <w:proofErr w:type="spellEnd"/>
      <w:r w:rsidRPr="00392F1A">
        <w:rPr>
          <w:rFonts w:cs="Times New Roman"/>
        </w:rPr>
        <w:t>, ООО «</w:t>
      </w:r>
      <w:proofErr w:type="spellStart"/>
      <w:r w:rsidRPr="00392F1A">
        <w:rPr>
          <w:rFonts w:cs="Times New Roman"/>
        </w:rPr>
        <w:t>Терминус</w:t>
      </w:r>
      <w:proofErr w:type="spellEnd"/>
      <w:r w:rsidRPr="00392F1A">
        <w:rPr>
          <w:rFonts w:cs="Times New Roman"/>
        </w:rPr>
        <w:t>», ООО «</w:t>
      </w:r>
      <w:proofErr w:type="spellStart"/>
      <w:r w:rsidRPr="00392F1A">
        <w:rPr>
          <w:rFonts w:cs="Times New Roman"/>
        </w:rPr>
        <w:t>Русинокс</w:t>
      </w:r>
      <w:proofErr w:type="spellEnd"/>
      <w:r w:rsidRPr="00392F1A">
        <w:rPr>
          <w:rFonts w:cs="Times New Roman"/>
        </w:rPr>
        <w:t>», АО «ТЭСМО», ООО «</w:t>
      </w:r>
      <w:proofErr w:type="spellStart"/>
      <w:r w:rsidRPr="00392F1A">
        <w:rPr>
          <w:rFonts w:cs="Times New Roman"/>
        </w:rPr>
        <w:t>Промснабресурс</w:t>
      </w:r>
      <w:proofErr w:type="spellEnd"/>
      <w:r w:rsidRPr="00392F1A">
        <w:rPr>
          <w:rFonts w:cs="Times New Roman"/>
        </w:rPr>
        <w:t xml:space="preserve">», ЗАО «Полимер», ООО «Фабрика композитов», ИП </w:t>
      </w:r>
      <w:proofErr w:type="spellStart"/>
      <w:r w:rsidRPr="00392F1A">
        <w:rPr>
          <w:rFonts w:cs="Times New Roman"/>
        </w:rPr>
        <w:t>Вострухин</w:t>
      </w:r>
      <w:proofErr w:type="spellEnd"/>
      <w:r w:rsidRPr="00392F1A">
        <w:rPr>
          <w:rFonts w:cs="Times New Roman"/>
        </w:rPr>
        <w:t xml:space="preserve"> М.С. Снижение количества безработных граждан планируется за счет создания рабочих мест новыми резидентами, привлекаемыми на промышленные площадки города, развития индустриальных парков "Металлург" и "</w:t>
      </w:r>
      <w:proofErr w:type="spellStart"/>
      <w:r w:rsidRPr="00392F1A">
        <w:rPr>
          <w:rFonts w:cs="Times New Roman"/>
        </w:rPr>
        <w:t>Элко</w:t>
      </w:r>
      <w:proofErr w:type="spellEnd"/>
      <w:r w:rsidRPr="00392F1A">
        <w:rPr>
          <w:rFonts w:cs="Times New Roman"/>
        </w:rPr>
        <w:t xml:space="preserve">", реализации инвестиционных проектов ГК "Виктория </w:t>
      </w:r>
      <w:proofErr w:type="spellStart"/>
      <w:r w:rsidRPr="00392F1A">
        <w:rPr>
          <w:rFonts w:cs="Times New Roman"/>
        </w:rPr>
        <w:t>Эстейт</w:t>
      </w:r>
      <w:proofErr w:type="spellEnd"/>
      <w:r w:rsidRPr="00392F1A">
        <w:rPr>
          <w:rFonts w:cs="Times New Roman"/>
        </w:rPr>
        <w:t>" в сфере сельского хозяйства, а также за счет мероприятий, проводимых Электростальским Центром занятости населения. В результате, количество безработных снизится с 800 человек на конец 2019 года до 450 человек наконец 2024 года (по второму варианту прогноза)</w:t>
      </w:r>
      <w:r>
        <w:rPr>
          <w:rFonts w:cs="Times New Roman"/>
        </w:rPr>
        <w:t>.</w:t>
      </w:r>
    </w:p>
    <w:p w:rsidR="00392F1A" w:rsidRDefault="00392F1A" w:rsidP="00392F1A">
      <w:pPr>
        <w:ind w:firstLine="540"/>
        <w:jc w:val="both"/>
        <w:rPr>
          <w:rFonts w:cs="Times New Roman"/>
        </w:rPr>
      </w:pPr>
      <w:r w:rsidRPr="00392F1A">
        <w:rPr>
          <w:rFonts w:cs="Times New Roman"/>
        </w:rPr>
        <w:t xml:space="preserve">Организациями, определяющими </w:t>
      </w:r>
      <w:proofErr w:type="gramStart"/>
      <w:r w:rsidRPr="00392F1A">
        <w:rPr>
          <w:rFonts w:cs="Times New Roman"/>
        </w:rPr>
        <w:t>динамику фонда заработной платы городского округа</w:t>
      </w:r>
      <w:proofErr w:type="gramEnd"/>
      <w:r w:rsidRPr="00392F1A">
        <w:rPr>
          <w:rFonts w:cs="Times New Roman"/>
        </w:rPr>
        <w:t xml:space="preserve"> являются крупнейшие промышленные предприятия: ПАО "МСЗ, ОАО "ЭЗТМ", АО "МЗ"Электросталь", ОАО "ЭХМЗ", АО "502ЗРВТИ", ООО "МСЗ Механика".  в 2018 году фонд оплаты труда по городскому округу растет по сравнению с 2017 годом на 104,7%</w:t>
      </w:r>
      <w:r>
        <w:rPr>
          <w:rFonts w:cs="Times New Roman"/>
        </w:rPr>
        <w:t>.</w:t>
      </w:r>
    </w:p>
    <w:p w:rsidR="00392F1A" w:rsidRDefault="00392F1A" w:rsidP="00392F1A">
      <w:pPr>
        <w:ind w:firstLine="540"/>
        <w:jc w:val="both"/>
        <w:rPr>
          <w:rFonts w:cs="Times New Roman"/>
        </w:rPr>
      </w:pPr>
      <w:r w:rsidRPr="00392F1A">
        <w:rPr>
          <w:rFonts w:cs="Times New Roman"/>
        </w:rPr>
        <w:t>В 2019 году темп роста фонда заработной платы по крупным и средним организациям оценивается в пределах 106,3%. В прогнозном периоде рост ФЗП связан с ростом заработной платы на предприятиях и организациях города, созданием на них новых высокопроизводительных рабочих мест.</w:t>
      </w:r>
    </w:p>
    <w:p w:rsidR="00392F1A" w:rsidRDefault="00392F1A" w:rsidP="00392F1A">
      <w:pPr>
        <w:ind w:firstLine="540"/>
        <w:jc w:val="both"/>
        <w:rPr>
          <w:rFonts w:cs="Times New Roman"/>
        </w:rPr>
      </w:pPr>
      <w:r w:rsidRPr="00392F1A">
        <w:rPr>
          <w:rFonts w:cs="Times New Roman"/>
        </w:rPr>
        <w:t xml:space="preserve">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млрд.рублей в 2020 году до 4,3 </w:t>
      </w:r>
      <w:proofErr w:type="spellStart"/>
      <w:r w:rsidRPr="00392F1A">
        <w:rPr>
          <w:rFonts w:cs="Times New Roman"/>
        </w:rPr>
        <w:t>млрд.руб</w:t>
      </w:r>
      <w:proofErr w:type="spellEnd"/>
      <w:r w:rsidRPr="00392F1A">
        <w:rPr>
          <w:rFonts w:cs="Times New Roman"/>
        </w:rPr>
        <w:t xml:space="preserve"> в 2022 году, АО «МЗ «Электросталь</w:t>
      </w:r>
      <w:r>
        <w:rPr>
          <w:rFonts w:cs="Times New Roman"/>
        </w:rPr>
        <w:t>»</w:t>
      </w:r>
      <w:r w:rsidRPr="00392F1A">
        <w:rPr>
          <w:rFonts w:cs="Times New Roman"/>
        </w:rPr>
        <w:t xml:space="preserve"> - с 2,7 </w:t>
      </w:r>
      <w:proofErr w:type="spellStart"/>
      <w:r w:rsidRPr="00392F1A">
        <w:rPr>
          <w:rFonts w:cs="Times New Roman"/>
        </w:rPr>
        <w:t>млрд.руб</w:t>
      </w:r>
      <w:proofErr w:type="spellEnd"/>
      <w:r w:rsidRPr="00392F1A">
        <w:rPr>
          <w:rFonts w:cs="Times New Roman"/>
        </w:rPr>
        <w:t xml:space="preserve"> в 2020 году до 2,9 млрд.руб.в 2022, ОАО «ЭХМЗ» - с 291,8 млн.руб. в 2020 до 330,9 млн.руб. в 2022, и др. </w:t>
      </w:r>
    </w:p>
    <w:p w:rsidR="00392F1A" w:rsidRDefault="00392F1A" w:rsidP="00392F1A">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r>
        <w:rPr>
          <w:rFonts w:cs="Times New Roman"/>
        </w:rPr>
        <w:t>В</w:t>
      </w:r>
      <w:r w:rsidRPr="00392F1A">
        <w:rPr>
          <w:rFonts w:cs="Times New Roman"/>
        </w:rPr>
        <w:t xml:space="preserve"> настоящий момент на территории городского округа Электросталь реализуются инвестиционные проекты: </w:t>
      </w:r>
    </w:p>
    <w:p w:rsidR="00392F1A" w:rsidRPr="00392F1A" w:rsidRDefault="00392F1A" w:rsidP="00392F1A">
      <w:pPr>
        <w:ind w:firstLine="540"/>
        <w:jc w:val="both"/>
        <w:rPr>
          <w:rFonts w:cs="Times New Roman"/>
          <w:i/>
        </w:rPr>
      </w:pPr>
      <w:r w:rsidRPr="00392F1A">
        <w:rPr>
          <w:rFonts w:cs="Times New Roman"/>
          <w:i/>
        </w:rPr>
        <w:t xml:space="preserve">В сфере промышленности: </w:t>
      </w:r>
    </w:p>
    <w:p w:rsidR="00392F1A" w:rsidRDefault="00392F1A" w:rsidP="00392F1A">
      <w:pPr>
        <w:ind w:firstLine="540"/>
        <w:jc w:val="both"/>
        <w:rPr>
          <w:rFonts w:cs="Times New Roman"/>
        </w:rPr>
      </w:pPr>
      <w:r w:rsidRPr="00392F1A">
        <w:rPr>
          <w:rFonts w:cs="Times New Roman"/>
        </w:rPr>
        <w:t xml:space="preserve">- Реконструкция и модернизация предприятия атомной отрасли ПАО «Машиностроительный завод», планируется создание 25 рабочих мест, проект реализуется с 2015 года, срок окончания проекта IV квартал 2019 года; </w:t>
      </w:r>
    </w:p>
    <w:p w:rsidR="00392F1A" w:rsidRDefault="00392F1A" w:rsidP="00392F1A">
      <w:pPr>
        <w:ind w:firstLine="540"/>
        <w:jc w:val="both"/>
        <w:rPr>
          <w:rFonts w:cs="Times New Roman"/>
        </w:rPr>
      </w:pPr>
      <w:r w:rsidRPr="00392F1A">
        <w:rPr>
          <w:rFonts w:cs="Times New Roman"/>
        </w:rPr>
        <w:t xml:space="preserve">- Модернизация и техническое перевооружение металлургического производства АО «Металлургический завод «Электросталь», срок окончания проекта IV квартал 2019 года; - Создание нового производства автоклавного газобетона, реализуется компанией «БОНОЛИТ» с октября 2018 года, планируется создание 250 рабочих мест, срок окончания проекта III квартал 2019 года; </w:t>
      </w:r>
    </w:p>
    <w:p w:rsidR="00392F1A" w:rsidRDefault="00392F1A" w:rsidP="00392F1A">
      <w:pPr>
        <w:ind w:firstLine="540"/>
        <w:jc w:val="both"/>
        <w:rPr>
          <w:rFonts w:cs="Times New Roman"/>
        </w:rPr>
      </w:pPr>
      <w:r w:rsidRPr="00392F1A">
        <w:rPr>
          <w:rFonts w:cs="Times New Roman"/>
        </w:rPr>
        <w:t>- Группой компании «</w:t>
      </w:r>
      <w:proofErr w:type="spellStart"/>
      <w:r w:rsidRPr="00392F1A">
        <w:rPr>
          <w:rFonts w:cs="Times New Roman"/>
        </w:rPr>
        <w:t>Тране</w:t>
      </w:r>
      <w:proofErr w:type="spellEnd"/>
      <w:r w:rsidRPr="00392F1A">
        <w:rPr>
          <w:rFonts w:cs="Times New Roman"/>
        </w:rPr>
        <w:t xml:space="preserve">» реализуются инвестиционные проекты по строительству бизнес-парка; - Строительство производственного здания компанией ООО «Производственный комплекс «ВЕГА»; </w:t>
      </w:r>
    </w:p>
    <w:p w:rsidR="00392F1A" w:rsidRDefault="00392F1A" w:rsidP="00392F1A">
      <w:pPr>
        <w:ind w:firstLine="540"/>
        <w:jc w:val="both"/>
        <w:rPr>
          <w:rFonts w:cs="Times New Roman"/>
        </w:rPr>
      </w:pPr>
      <w:r w:rsidRPr="00392F1A">
        <w:rPr>
          <w:rFonts w:cs="Times New Roman"/>
        </w:rPr>
        <w:t>- Строительство производственного здания компанией ООО «Альянс»; - Строительство производственного здания ООО «</w:t>
      </w:r>
      <w:proofErr w:type="spellStart"/>
      <w:r w:rsidRPr="00392F1A">
        <w:rPr>
          <w:rFonts w:cs="Times New Roman"/>
        </w:rPr>
        <w:t>Амега</w:t>
      </w:r>
      <w:proofErr w:type="spellEnd"/>
      <w:r w:rsidRPr="00392F1A">
        <w:rPr>
          <w:rFonts w:cs="Times New Roman"/>
        </w:rPr>
        <w:t xml:space="preserve">», планируется создание 30 рабочих мест, срок окончания проекта I квартал 2020 года. </w:t>
      </w:r>
    </w:p>
    <w:p w:rsidR="00392F1A" w:rsidRDefault="00392F1A" w:rsidP="00392F1A">
      <w:pPr>
        <w:ind w:firstLine="540"/>
        <w:jc w:val="both"/>
        <w:rPr>
          <w:rFonts w:cs="Times New Roman"/>
        </w:rPr>
      </w:pPr>
      <w:r w:rsidRPr="00392F1A">
        <w:rPr>
          <w:rFonts w:cs="Times New Roman"/>
        </w:rPr>
        <w:t>- Строительство производственно-складского комплекса компанией ООО «</w:t>
      </w:r>
      <w:proofErr w:type="spellStart"/>
      <w:r w:rsidRPr="00392F1A">
        <w:rPr>
          <w:rFonts w:cs="Times New Roman"/>
        </w:rPr>
        <w:t>МасТТеч</w:t>
      </w:r>
      <w:proofErr w:type="spellEnd"/>
      <w:r w:rsidRPr="00392F1A">
        <w:rPr>
          <w:rFonts w:cs="Times New Roman"/>
        </w:rPr>
        <w:t xml:space="preserve">». </w:t>
      </w:r>
    </w:p>
    <w:p w:rsidR="00392F1A" w:rsidRDefault="00392F1A" w:rsidP="00392F1A">
      <w:pPr>
        <w:ind w:firstLine="540"/>
        <w:jc w:val="both"/>
        <w:rPr>
          <w:rFonts w:cs="Times New Roman"/>
        </w:rPr>
      </w:pPr>
      <w:r w:rsidRPr="00392F1A">
        <w:rPr>
          <w:rFonts w:cs="Times New Roman"/>
          <w:i/>
        </w:rPr>
        <w:t>В сфере сельского хозяйства:</w:t>
      </w:r>
      <w:r w:rsidRPr="00392F1A">
        <w:rPr>
          <w:rFonts w:cs="Times New Roman"/>
        </w:rPr>
        <w:t xml:space="preserve"> </w:t>
      </w:r>
    </w:p>
    <w:p w:rsidR="00392F1A" w:rsidRDefault="00392F1A" w:rsidP="00392F1A">
      <w:pPr>
        <w:ind w:firstLine="540"/>
        <w:jc w:val="both"/>
        <w:rPr>
          <w:rFonts w:cs="Times New Roman"/>
        </w:rPr>
      </w:pPr>
      <w:r w:rsidRPr="00392F1A">
        <w:rPr>
          <w:rFonts w:cs="Times New Roman"/>
        </w:rPr>
        <w:t xml:space="preserve">На территории городского округа Электросталь группа компаний «Виктория </w:t>
      </w:r>
      <w:proofErr w:type="spellStart"/>
      <w:r w:rsidRPr="00392F1A">
        <w:rPr>
          <w:rFonts w:cs="Times New Roman"/>
        </w:rPr>
        <w:t>Эстейт</w:t>
      </w:r>
      <w:proofErr w:type="spellEnd"/>
      <w:r w:rsidRPr="00392F1A">
        <w:rPr>
          <w:rFonts w:cs="Times New Roman"/>
        </w:rPr>
        <w:t xml:space="preserve">» реализует проект по созданию тепличного комплекса. В настоящее время на территории </w:t>
      </w:r>
      <w:proofErr w:type="spellStart"/>
      <w:r w:rsidRPr="00392F1A">
        <w:rPr>
          <w:rFonts w:cs="Times New Roman"/>
        </w:rPr>
        <w:t>агропарка</w:t>
      </w:r>
      <w:proofErr w:type="spellEnd"/>
      <w:r w:rsidRPr="00392F1A">
        <w:rPr>
          <w:rFonts w:cs="Times New Roman"/>
        </w:rPr>
        <w:t xml:space="preserve"> реализуется проекты по: </w:t>
      </w:r>
    </w:p>
    <w:p w:rsidR="00392F1A" w:rsidRDefault="00392F1A" w:rsidP="00392F1A">
      <w:pPr>
        <w:ind w:firstLine="540"/>
        <w:jc w:val="both"/>
        <w:rPr>
          <w:rFonts w:cs="Times New Roman"/>
        </w:rPr>
      </w:pPr>
      <w:r w:rsidRPr="00392F1A">
        <w:rPr>
          <w:rFonts w:cs="Times New Roman"/>
        </w:rPr>
        <w:t xml:space="preserve">- строительству тепличного комплекса второй очереди; - строительству грибного комплекса ООО «ТД «Богородские овощи»; </w:t>
      </w:r>
    </w:p>
    <w:p w:rsidR="00392F1A" w:rsidRDefault="00392F1A" w:rsidP="00392F1A">
      <w:pPr>
        <w:ind w:firstLine="540"/>
        <w:jc w:val="both"/>
        <w:rPr>
          <w:rFonts w:cs="Times New Roman"/>
        </w:rPr>
      </w:pPr>
      <w:r w:rsidRPr="00392F1A">
        <w:rPr>
          <w:rFonts w:cs="Times New Roman"/>
        </w:rPr>
        <w:t>- строительству тепличного комплекса (третья очередь) по круглогодичному выращиванию клубники.</w:t>
      </w:r>
    </w:p>
    <w:p w:rsidR="00392F1A" w:rsidRDefault="00AC2AD8" w:rsidP="00392F1A">
      <w:pPr>
        <w:ind w:firstLine="540"/>
        <w:jc w:val="both"/>
        <w:rPr>
          <w:rFonts w:cs="Times New Roman"/>
        </w:rPr>
      </w:pPr>
      <w:r w:rsidRPr="00AC2AD8">
        <w:rPr>
          <w:rFonts w:cs="Times New Roman"/>
        </w:rPr>
        <w:t>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сравнению с прошлым годом 111,5%, по крупным и средним предприятиям города средняя заработная плата вросла по сравнению с 2017 годом на 106% и составила 47 461 руб. На рост средней заработной платы оказывает влияние не только рост ФЗП, но и частичная оптимизация численности работников ряда крупных предприятий города.</w:t>
      </w:r>
    </w:p>
    <w:p w:rsidR="00AC2AD8" w:rsidRDefault="00AC2AD8" w:rsidP="00392F1A">
      <w:pPr>
        <w:ind w:firstLine="540"/>
        <w:jc w:val="both"/>
        <w:rPr>
          <w:rFonts w:cs="Times New Roman"/>
        </w:rPr>
      </w:pPr>
      <w:r w:rsidRPr="00AC2AD8">
        <w:rPr>
          <w:rFonts w:cs="Times New Roman"/>
        </w:rPr>
        <w:t xml:space="preserve">В 2019 году средняя заработная плата работников по крупным и средним организациям городского округа оценочно составит 50 806,5 руб., темп </w:t>
      </w:r>
      <w:proofErr w:type="gramStart"/>
      <w:r w:rsidRPr="00AC2AD8">
        <w:rPr>
          <w:rFonts w:cs="Times New Roman"/>
        </w:rPr>
        <w:t>роста  -</w:t>
      </w:r>
      <w:proofErr w:type="gramEnd"/>
      <w:r w:rsidRPr="00AC2AD8">
        <w:rPr>
          <w:rFonts w:cs="Times New Roman"/>
        </w:rPr>
        <w:t xml:space="preserve">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 xml:space="preserve">На территории г.о. Электросталь действует программа </w:t>
      </w:r>
      <w:proofErr w:type="gramStart"/>
      <w:r w:rsidRPr="00AC2AD8">
        <w:rPr>
          <w:rFonts w:cs="Times New Roman"/>
        </w:rPr>
        <w:t>по финансовой поддержки</w:t>
      </w:r>
      <w:proofErr w:type="gramEnd"/>
      <w:r w:rsidRPr="00AC2AD8">
        <w:rPr>
          <w:rFonts w:cs="Times New Roman"/>
        </w:rPr>
        <w:t xml:space="preserve"> предпринимателей, что позволяет создавать новые рабочие места. Также в городе создаются индустриальные и </w:t>
      </w:r>
      <w:proofErr w:type="gramStart"/>
      <w:r w:rsidRPr="00AC2AD8">
        <w:rPr>
          <w:rFonts w:cs="Times New Roman"/>
        </w:rPr>
        <w:t>техно-парки</w:t>
      </w:r>
      <w:proofErr w:type="gramEnd"/>
      <w:r w:rsidRPr="00AC2AD8">
        <w:rPr>
          <w:rFonts w:cs="Times New Roman"/>
        </w:rPr>
        <w:t>,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AC2AD8"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 xml:space="preserve">что в свою очередь влияет на результаты труда и качество труда работников. Применение современных технологий, использование </w:t>
      </w:r>
      <w:proofErr w:type="spellStart"/>
      <w:r w:rsidRPr="00AC2AD8">
        <w:rPr>
          <w:rFonts w:cs="Times New Roman"/>
        </w:rPr>
        <w:t>трудозамещающих</w:t>
      </w:r>
      <w:proofErr w:type="spellEnd"/>
      <w:r w:rsidRPr="00AC2AD8">
        <w:rPr>
          <w:rFonts w:cs="Times New Roman"/>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Default="00AC2AD8" w:rsidP="00392F1A">
      <w:pPr>
        <w:ind w:firstLine="540"/>
        <w:jc w:val="both"/>
        <w:rPr>
          <w:rFonts w:cs="Times New Roman"/>
        </w:rPr>
      </w:pPr>
      <w:r w:rsidRPr="00AC2AD8">
        <w:rPr>
          <w:rFonts w:cs="Times New Roman"/>
        </w:rPr>
        <w:t xml:space="preserve">На предприятиях городского округа Электросталь </w:t>
      </w:r>
      <w:proofErr w:type="spellStart"/>
      <w:r w:rsidRPr="00AC2AD8">
        <w:rPr>
          <w:rFonts w:cs="Times New Roman"/>
        </w:rPr>
        <w:t>провордятся</w:t>
      </w:r>
      <w:proofErr w:type="spellEnd"/>
      <w:r w:rsidRPr="00AC2AD8">
        <w:rPr>
          <w:rFonts w:cs="Times New Roman"/>
        </w:rPr>
        <w:t xml:space="preserve"> мероприятия по модернизации действующих производств, замене оборудования старого образца на современное высокотехнологичное оборудование, в связи с чем растет потребность в повы</w:t>
      </w:r>
      <w:r>
        <w:rPr>
          <w:rFonts w:cs="Times New Roman"/>
        </w:rPr>
        <w:t>шении квалификации персонала, в</w:t>
      </w:r>
      <w:r w:rsidRPr="00AC2AD8">
        <w:rPr>
          <w:rFonts w:cs="Times New Roman"/>
        </w:rPr>
        <w:t>следствие чего увеличиваются темпы роста среднемесячной заработной платы.</w:t>
      </w:r>
    </w:p>
    <w:p w:rsidR="00AC2AD8" w:rsidRDefault="00AC2AD8" w:rsidP="00392F1A">
      <w:pPr>
        <w:ind w:firstLine="540"/>
        <w:jc w:val="both"/>
        <w:rPr>
          <w:rFonts w:cs="Times New Roman"/>
        </w:rPr>
      </w:pPr>
      <w:r w:rsidRPr="00AC2AD8">
        <w:rPr>
          <w:rFonts w:cs="Times New Roman"/>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r>
        <w:rPr>
          <w:rFonts w:cs="Times New Roman"/>
        </w:rPr>
        <w:t>.</w:t>
      </w:r>
    </w:p>
    <w:p w:rsidR="00AC2AD8" w:rsidRPr="00AC2AD8" w:rsidRDefault="00AC2AD8" w:rsidP="00392F1A">
      <w:pPr>
        <w:ind w:firstLine="540"/>
        <w:jc w:val="both"/>
        <w:rPr>
          <w:rFonts w:cs="Times New Roman"/>
          <w:b/>
          <w:i/>
        </w:rPr>
      </w:pPr>
      <w:r w:rsidRPr="00AC2AD8">
        <w:rPr>
          <w:rFonts w:cs="Times New Roman"/>
          <w:b/>
          <w:i/>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2200D0">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Филиал МО </w:t>
      </w:r>
      <w:proofErr w:type="spellStart"/>
      <w:r w:rsidRPr="002200D0">
        <w:rPr>
          <w:rFonts w:cs="Times New Roman"/>
        </w:rPr>
        <w:t>Мострансавто</w:t>
      </w:r>
      <w:proofErr w:type="spellEnd"/>
      <w:r w:rsidRPr="002200D0">
        <w:rPr>
          <w:rFonts w:cs="Times New Roman"/>
        </w:rPr>
        <w:t xml:space="preserve"> ЭПАТП, ГБУЗ МО "ЭЦГБ", ФГБУЗ  ЦПБ ФМБА России, ФГБУЗ "ЦМСЧ-21", КЦ и</w:t>
      </w:r>
      <w:r w:rsidR="002200D0">
        <w:rPr>
          <w:rFonts w:cs="Times New Roman"/>
        </w:rPr>
        <w:t>м.Васильева, КЦ "Октябрь", ДК "Е</w:t>
      </w:r>
      <w:r w:rsidRPr="002200D0">
        <w:rPr>
          <w:rFonts w:cs="Times New Roman"/>
        </w:rPr>
        <w:t>лизаветино", ЗАО "Отдых", ОП ООО "Алекс-</w:t>
      </w:r>
      <w:proofErr w:type="spellStart"/>
      <w:r w:rsidRPr="002200D0">
        <w:rPr>
          <w:rFonts w:cs="Times New Roman"/>
        </w:rPr>
        <w:t>Финесс</w:t>
      </w:r>
      <w:proofErr w:type="spellEnd"/>
      <w:r w:rsidRPr="002200D0">
        <w:rPr>
          <w:rFonts w:cs="Times New Roman"/>
        </w:rPr>
        <w:t>", ООО "Зебра", Филиал ГУП МО КС МО "Электростальский", ООО "Центральное", ПАО "Северное", АО "</w:t>
      </w:r>
      <w:proofErr w:type="spellStart"/>
      <w:r w:rsidRPr="002200D0">
        <w:rPr>
          <w:rFonts w:cs="Times New Roman"/>
        </w:rPr>
        <w:t>Мосэнергосбыт</w:t>
      </w:r>
      <w:proofErr w:type="spellEnd"/>
      <w:r w:rsidRPr="002200D0">
        <w:rPr>
          <w:rFonts w:cs="Times New Roman"/>
        </w:rPr>
        <w:t>", ООО "Глобус", АО "ВСК", ПАО "ЭЮТСК", Филиал ГУП МО "</w:t>
      </w:r>
      <w:proofErr w:type="spellStart"/>
      <w:r w:rsidRPr="002200D0">
        <w:rPr>
          <w:rFonts w:cs="Times New Roman"/>
        </w:rPr>
        <w:t>Мособлгаз</w:t>
      </w:r>
      <w:proofErr w:type="spellEnd"/>
      <w:r w:rsidRPr="002200D0">
        <w:rPr>
          <w:rFonts w:cs="Times New Roman"/>
        </w:rPr>
        <w:t xml:space="preserve"> "</w:t>
      </w:r>
      <w:proofErr w:type="spellStart"/>
      <w:r w:rsidRPr="002200D0">
        <w:rPr>
          <w:rFonts w:cs="Times New Roman"/>
        </w:rPr>
        <w:t>Ногинскмежрайгаз</w:t>
      </w:r>
      <w:proofErr w:type="spellEnd"/>
      <w:r w:rsidRPr="002200D0">
        <w:rPr>
          <w:rFonts w:cs="Times New Roman"/>
        </w:rPr>
        <w:t>, Кафе ООО "</w:t>
      </w:r>
      <w:proofErr w:type="spellStart"/>
      <w:r w:rsidRPr="002200D0">
        <w:rPr>
          <w:rFonts w:cs="Times New Roman"/>
        </w:rPr>
        <w:t>ГиперГлобус</w:t>
      </w:r>
      <w:proofErr w:type="spellEnd"/>
      <w:r w:rsidRPr="002200D0">
        <w:rPr>
          <w:rFonts w:cs="Times New Roman"/>
        </w:rPr>
        <w:t>", ООО "Макдоналдс", ООО "Дюна", ООО "Контраст" и др.</w:t>
      </w:r>
    </w:p>
    <w:p w:rsidR="003532F8" w:rsidRPr="002200D0" w:rsidRDefault="003532F8" w:rsidP="002200D0">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тыс.кв.м, в 2019 - 19 тыс.кв.м, в 2020 - 6,7 тыс.кв.м.</w:t>
      </w:r>
    </w:p>
    <w:p w:rsidR="003532F8" w:rsidRPr="002200D0" w:rsidRDefault="003532F8" w:rsidP="002200D0">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2200D0">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Торговый центр "Меридиан</w:t>
      </w:r>
      <w:proofErr w:type="gramStart"/>
      <w:r w:rsidRPr="002200D0">
        <w:rPr>
          <w:rFonts w:cs="Times New Roman"/>
        </w:rPr>
        <w:t>"( 11525</w:t>
      </w:r>
      <w:proofErr w:type="gramEnd"/>
      <w:r w:rsidRPr="002200D0">
        <w:rPr>
          <w:rFonts w:cs="Times New Roman"/>
        </w:rPr>
        <w:t xml:space="preserve"> кв.м) , ул. </w:t>
      </w:r>
      <w:proofErr w:type="spellStart"/>
      <w:r w:rsidRPr="002200D0">
        <w:rPr>
          <w:rFonts w:cs="Times New Roman"/>
        </w:rPr>
        <w:t>Ялагина</w:t>
      </w:r>
      <w:proofErr w:type="spellEnd"/>
      <w:r w:rsidRPr="002200D0">
        <w:rPr>
          <w:rFonts w:cs="Times New Roman"/>
        </w:rPr>
        <w:t>, 4;  Торгово-развлекательный центр "</w:t>
      </w:r>
      <w:proofErr w:type="spellStart"/>
      <w:r w:rsidRPr="002200D0">
        <w:rPr>
          <w:rFonts w:cs="Times New Roman"/>
        </w:rPr>
        <w:t>Эльград</w:t>
      </w:r>
      <w:proofErr w:type="spellEnd"/>
      <w:r w:rsidRPr="002200D0">
        <w:rPr>
          <w:rFonts w:cs="Times New Roman"/>
        </w:rPr>
        <w:t xml:space="preserve">"( 59885 </w:t>
      </w:r>
      <w:proofErr w:type="spellStart"/>
      <w:r w:rsidRPr="002200D0">
        <w:rPr>
          <w:rFonts w:cs="Times New Roman"/>
        </w:rPr>
        <w:t>кв.м</w:t>
      </w:r>
      <w:proofErr w:type="spellEnd"/>
      <w:r w:rsidRPr="002200D0">
        <w:rPr>
          <w:rFonts w:cs="Times New Roman"/>
        </w:rPr>
        <w:t xml:space="preserve">.) , пр. Ленина, д. 0/10;  культурно-развлекательный центр "Парк Плаза"( 15500 кв.м.), ул. Радио;  Торговый центр"Центральный"(4760 кв.м.)ул. Карла Маркса;   ТЦ "Первый", (5770 кв.м.) ул. Северная;  торговые центры "АТАК" ( 3630 кв.м.)  на ул. </w:t>
      </w:r>
      <w:proofErr w:type="spellStart"/>
      <w:r w:rsidRPr="002200D0">
        <w:rPr>
          <w:rFonts w:cs="Times New Roman"/>
        </w:rPr>
        <w:t>Тевосяна</w:t>
      </w:r>
      <w:proofErr w:type="spellEnd"/>
      <w:r w:rsidRPr="002200D0">
        <w:rPr>
          <w:rFonts w:cs="Times New Roman"/>
        </w:rPr>
        <w:t xml:space="preserve"> и (3700 </w:t>
      </w:r>
      <w:proofErr w:type="spellStart"/>
      <w:r w:rsidRPr="002200D0">
        <w:rPr>
          <w:rFonts w:cs="Times New Roman"/>
        </w:rPr>
        <w:t>кв.м</w:t>
      </w:r>
      <w:proofErr w:type="spellEnd"/>
      <w:r w:rsidRPr="002200D0">
        <w:rPr>
          <w:rFonts w:cs="Times New Roman"/>
        </w:rPr>
        <w:t>.) на ул. Ногинское шоссе; Мебельный центр "Интерьер</w:t>
      </w:r>
      <w:proofErr w:type="gramStart"/>
      <w:r w:rsidRPr="002200D0">
        <w:rPr>
          <w:rFonts w:cs="Times New Roman"/>
        </w:rPr>
        <w:t>"( 2975</w:t>
      </w:r>
      <w:proofErr w:type="gramEnd"/>
      <w:r w:rsidRPr="002200D0">
        <w:rPr>
          <w:rFonts w:cs="Times New Roman"/>
        </w:rPr>
        <w:t>), ул. Красная; Торговый комплекс "Восточный", ( 1900 кв.м.), ул. Карла Маркса; ТК "</w:t>
      </w:r>
      <w:proofErr w:type="spellStart"/>
      <w:r w:rsidRPr="002200D0">
        <w:rPr>
          <w:rFonts w:cs="Times New Roman"/>
        </w:rPr>
        <w:t>Анже</w:t>
      </w:r>
      <w:proofErr w:type="spellEnd"/>
      <w:r w:rsidRPr="002200D0">
        <w:rPr>
          <w:rFonts w:cs="Times New Roman"/>
        </w:rPr>
        <w:t xml:space="preserve">", (1200 </w:t>
      </w:r>
      <w:proofErr w:type="spellStart"/>
      <w:r w:rsidRPr="002200D0">
        <w:rPr>
          <w:rFonts w:cs="Times New Roman"/>
        </w:rPr>
        <w:t>кв.м</w:t>
      </w:r>
      <w:proofErr w:type="spellEnd"/>
      <w:r w:rsidRPr="002200D0">
        <w:rPr>
          <w:rFonts w:cs="Times New Roman"/>
        </w:rPr>
        <w:t>.) пр. Ленина;  Торгово-офисный центр "Лотос", (2400 кв.м.); ТЦ "Южный", (3400 кв.м.), ул. Мира, Гипермаркеты "Глобус" и "</w:t>
      </w:r>
      <w:proofErr w:type="spellStart"/>
      <w:r w:rsidRPr="002200D0">
        <w:rPr>
          <w:rFonts w:cs="Times New Roman"/>
        </w:rPr>
        <w:t>Касторама</w:t>
      </w:r>
      <w:proofErr w:type="spellEnd"/>
      <w:r w:rsidRPr="002200D0">
        <w:rPr>
          <w:rFonts w:cs="Times New Roman"/>
        </w:rPr>
        <w:t xml:space="preserve">" (присоединенные территории </w:t>
      </w:r>
      <w:proofErr w:type="spellStart"/>
      <w:r w:rsidRPr="002200D0">
        <w:rPr>
          <w:rFonts w:cs="Times New Roman"/>
        </w:rPr>
        <w:t>с.п</w:t>
      </w:r>
      <w:proofErr w:type="spellEnd"/>
      <w:r w:rsidRPr="002200D0">
        <w:rPr>
          <w:rFonts w:cs="Times New Roman"/>
        </w:rPr>
        <w:t xml:space="preserve">. </w:t>
      </w:r>
      <w:proofErr w:type="spellStart"/>
      <w:r w:rsidRPr="002200D0">
        <w:rPr>
          <w:rFonts w:cs="Times New Roman"/>
        </w:rPr>
        <w:t>Степановское</w:t>
      </w:r>
      <w:proofErr w:type="spellEnd"/>
      <w:r w:rsidRPr="002200D0">
        <w:rPr>
          <w:rFonts w:cs="Times New Roman"/>
        </w:rPr>
        <w:t>).</w:t>
      </w: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дошкольного образования</w:t>
      </w:r>
    </w:p>
    <w:p w:rsidR="002200D0" w:rsidRDefault="001B57D7" w:rsidP="002200D0">
      <w:pPr>
        <w:ind w:firstLine="567"/>
        <w:jc w:val="both"/>
        <w:rPr>
          <w:rFonts w:cs="Times New Roman"/>
        </w:rPr>
      </w:pPr>
      <w:r w:rsidRPr="001B57D7">
        <w:rPr>
          <w:rFonts w:cs="Times New Roman"/>
        </w:rPr>
        <w:t>Система дошкольного образования Электростали в 2018 году изменилась:  2 муниципальных  дошкольных образовательных учреждения были присоединены за счёт с.п. Стёпаново, МДОУ № 32 реорганизовано путем присоединения к МДОУ № 56 и в результате данных мероприятий количество детских садов составило 34. Общее количество мест увеличилось на 383, этого  удалось  достичь за счёт присоединения  МДОУ №87 и 99 с.п. Стёпаново с общим количеством мест 290 и созданием дополнительных 133места в существующих МДОУ, Общий охват детей дошкольным образованием составлял 7520  детей что на 383 больше, чем в прошлом году. Удовлетворенная потребность дошкольным образованием в возрасте от 0 до 7 лет составила 100%. ,В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1B57D7" w:rsidRDefault="001B57D7" w:rsidP="002200D0">
      <w:pPr>
        <w:ind w:firstLine="567"/>
        <w:jc w:val="both"/>
        <w:rPr>
          <w:rFonts w:cs="Times New Roman"/>
          <w:bCs/>
          <w:color w:val="333333"/>
        </w:rPr>
      </w:pPr>
      <w:r w:rsidRPr="001B57D7">
        <w:rPr>
          <w:rFonts w:cs="Times New Roman"/>
          <w:bCs/>
          <w:color w:val="333333"/>
        </w:rPr>
        <w:t>Удовлетворенная потребность дошкольным образованием для детей от 0 до 7 лет составила 100%, что на 10 % выше, чем в прошлом году. Ликвидирована очередь детей от 1,5 до 3 лет и удерживается показатель удовлетворенной потребности в дошкольном образовании от 3 до 7 лет - 100%.</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2200D0" w:rsidRPr="005C3A01" w:rsidRDefault="002200D0" w:rsidP="002200D0">
      <w:pPr>
        <w:ind w:firstLine="567"/>
        <w:jc w:val="both"/>
        <w:rPr>
          <w:rFonts w:cs="Times New Roman"/>
          <w:b/>
          <w:bCs/>
          <w:color w:val="333333"/>
        </w:rPr>
      </w:pPr>
    </w:p>
    <w:p w:rsidR="002200D0" w:rsidRDefault="001B57D7" w:rsidP="002200D0">
      <w:pPr>
        <w:ind w:firstLine="567"/>
        <w:jc w:val="both"/>
        <w:rPr>
          <w:rFonts w:cs="Times New Roman"/>
        </w:rPr>
      </w:pPr>
      <w:r w:rsidRPr="001B57D7">
        <w:rPr>
          <w:rFonts w:cs="Times New Roman"/>
        </w:rPr>
        <w:t>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Доля детей, обучающихся по федеральным государственным образовательным стандартам в 2018 году составила 89,7%, при этом все 100% учащихся с 1 по 8 класс обучаются по ФГОС. В 4 образовательных организациях реализуется ФГОС для обучающихся с ОВЗ. Это программы для детей с нарушением речи, слуха, зрения, задержкой психического развития, интеллектуальными нарушениями. В 2018 году в 22-х муниципальных общеобразовательных учреждениях, 3-х общеобразовательных учреждениях с ограниченными возможностями здоровья и 2-х негосударственных общеобразовательных учреждениях обучалось 16142 учащихся (в 2017 году - 15805 учащихся</w:t>
      </w:r>
      <w:proofErr w:type="gramStart"/>
      <w:r w:rsidRPr="001B57D7">
        <w:rPr>
          <w:rFonts w:cs="Times New Roman"/>
        </w:rPr>
        <w:t>).,</w:t>
      </w:r>
      <w:proofErr w:type="gramEnd"/>
      <w:r w:rsidRPr="001B57D7">
        <w:rPr>
          <w:rFonts w:cs="Times New Roman"/>
        </w:rPr>
        <w:t xml:space="preserve">Из 22 школ 10 (46%) входят в первую сотню единого рейтинга школ Московской области. 7 школ из 22 входят в ТОП-100 лучших школ Московской области по качеству образования. В рейтинговую систему образовательных учреждений области из 75 школ, показавших высокий уровень достижения работы педагогического коллектива по образованию и воспитанию учащихся по итогам 2016-2017 года вошло 5 школ (МОУ №№ 7,12,14,17,21). По итогам 2017-2018 года МОУ №№ 12, 16, 21 вошли в число ТОП-75 «умных школ» Московской </w:t>
      </w:r>
      <w:proofErr w:type="spellStart"/>
      <w:proofErr w:type="gramStart"/>
      <w:r w:rsidRPr="001B57D7">
        <w:rPr>
          <w:rFonts w:cs="Times New Roman"/>
        </w:rPr>
        <w:t>области,Четыре</w:t>
      </w:r>
      <w:proofErr w:type="spellEnd"/>
      <w:proofErr w:type="gramEnd"/>
      <w:r w:rsidRPr="001B57D7">
        <w:rPr>
          <w:rFonts w:cs="Times New Roman"/>
        </w:rPr>
        <w:t xml:space="preserve"> года подряд лицей №8 и СОШ №12 с УИИЯ  входят в ТОП-100 лучших школ по качеству образования, 3 раза в ТОП-100 входят лицей №14 и гимназия №17, 2 раза - лицей №7, по одному разу в ТОП-100 входили гимназия №9, 4, 21 и СОШ №13 с УИОП. Все учреждения получали гранты по </w:t>
      </w:r>
      <w:proofErr w:type="gramStart"/>
      <w:r w:rsidRPr="001B57D7">
        <w:rPr>
          <w:rFonts w:cs="Times New Roman"/>
        </w:rPr>
        <w:t>500,0тыс.руб.</w:t>
      </w:r>
      <w:proofErr w:type="gramEnd"/>
      <w:r w:rsidRPr="001B57D7">
        <w:rPr>
          <w:rFonts w:cs="Times New Roman"/>
        </w:rPr>
        <w:t xml:space="preserve">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обучающихся.</w:t>
      </w:r>
    </w:p>
    <w:p w:rsidR="001B57D7" w:rsidRDefault="001B57D7" w:rsidP="002200D0">
      <w:pPr>
        <w:ind w:firstLine="567"/>
        <w:jc w:val="both"/>
        <w:rPr>
          <w:rFonts w:cs="Times New Roman"/>
        </w:rPr>
      </w:pPr>
      <w:r w:rsidRPr="001B57D7">
        <w:rPr>
          <w:rFonts w:cs="Times New Roman"/>
        </w:rPr>
        <w:t>Для создания новых учебных мест планируется строительство пристройки на 100 мест к МОУ №22 в западном микрорайоне города и строительство школы на 825 мест в Северном микрорайоне города.  Ввод в эксплуатацию объектов  -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5C3A01"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w:t>
      </w:r>
      <w:proofErr w:type="gramStart"/>
      <w:r w:rsidRPr="001B57D7">
        <w:rPr>
          <w:rFonts w:cs="Times New Roman"/>
        </w:rPr>
        <w:t>году  осуществляют</w:t>
      </w:r>
      <w:proofErr w:type="gramEnd"/>
      <w:r w:rsidRPr="001B57D7">
        <w:rPr>
          <w:rFonts w:cs="Times New Roman"/>
        </w:rPr>
        <w:t>: -  7 учреждений культурно-досугового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w:t>
      </w:r>
      <w:proofErr w:type="spellStart"/>
      <w:r w:rsidRPr="001B57D7">
        <w:rPr>
          <w:rFonts w:cs="Times New Roman"/>
        </w:rPr>
        <w:t>Елизаветино»,включающий</w:t>
      </w:r>
      <w:proofErr w:type="spellEnd"/>
      <w:r w:rsidRPr="001B57D7">
        <w:rPr>
          <w:rFonts w:cs="Times New Roman"/>
        </w:rPr>
        <w:t xml:space="preserve"> в свою </w:t>
      </w:r>
      <w:proofErr w:type="spellStart"/>
      <w:r w:rsidRPr="001B57D7">
        <w:rPr>
          <w:rFonts w:cs="Times New Roman"/>
        </w:rPr>
        <w:t>структурк</w:t>
      </w:r>
      <w:proofErr w:type="spellEnd"/>
      <w:r w:rsidRPr="001B57D7">
        <w:rPr>
          <w:rFonts w:cs="Times New Roman"/>
        </w:rPr>
        <w:t xml:space="preserve"> 2 филиала,  а также Центр культуры АНО КСК «Кристалл». Общее число посадочных мест в организациях культурно-досугового типа - 2535; - 11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 - 3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МУДО «Детская музыкальная школа »  является автономным учреждением.  -  МБУК "Парки Электростали", парк культуры и отдыха ООО «ИНКАРОС</w:t>
      </w:r>
      <w:proofErr w:type="gramStart"/>
      <w:r w:rsidRPr="001B57D7">
        <w:rPr>
          <w:rFonts w:cs="Times New Roman"/>
        </w:rPr>
        <w:t>»;  -</w:t>
      </w:r>
      <w:proofErr w:type="gramEnd"/>
      <w:r w:rsidRPr="001B57D7">
        <w:rPr>
          <w:rFonts w:cs="Times New Roman"/>
        </w:rPr>
        <w:t xml:space="preserve"> ООО  киноцентры «Современник», «Галерея кино» и  «Вики </w:t>
      </w:r>
      <w:proofErr w:type="spellStart"/>
      <w:r w:rsidRPr="001B57D7">
        <w:rPr>
          <w:rFonts w:cs="Times New Roman"/>
        </w:rPr>
        <w:t>Синема</w:t>
      </w:r>
      <w:proofErr w:type="spellEnd"/>
      <w:r w:rsidRPr="001B57D7">
        <w:rPr>
          <w:rFonts w:cs="Times New Roman"/>
        </w:rPr>
        <w:t xml:space="preserve">».   -  ГАПОУ  МО «МОБМК им. А.Н. Скрябина»;   -  частная художественная галерея «ЛУБР».           В 2018 году в городском округе Электросталь </w:t>
      </w:r>
      <w:proofErr w:type="gramStart"/>
      <w:r w:rsidRPr="001B57D7">
        <w:rPr>
          <w:rFonts w:cs="Times New Roman"/>
        </w:rPr>
        <w:t>в  сфере</w:t>
      </w:r>
      <w:proofErr w:type="gramEnd"/>
      <w:r w:rsidRPr="001B57D7">
        <w:rPr>
          <w:rFonts w:cs="Times New Roman"/>
        </w:rPr>
        <w:t xml:space="preserve"> культуры </w:t>
      </w:r>
      <w:proofErr w:type="spellStart"/>
      <w:r w:rsidRPr="001B57D7">
        <w:rPr>
          <w:rFonts w:cs="Times New Roman"/>
        </w:rPr>
        <w:t>сложилать</w:t>
      </w:r>
      <w:proofErr w:type="spellEnd"/>
      <w:r w:rsidRPr="001B57D7">
        <w:rPr>
          <w:rFonts w:cs="Times New Roman"/>
        </w:rPr>
        <w:t xml:space="preserve"> положительная динамика обеспеченности населения объектами </w:t>
      </w:r>
      <w:proofErr w:type="spellStart"/>
      <w:r w:rsidRPr="001B57D7">
        <w:rPr>
          <w:rFonts w:cs="Times New Roman"/>
        </w:rPr>
        <w:t>культуры.В</w:t>
      </w:r>
      <w:proofErr w:type="spellEnd"/>
      <w:r w:rsidRPr="001B57D7">
        <w:rPr>
          <w:rFonts w:cs="Times New Roman"/>
        </w:rPr>
        <w:t xml:space="preserve"> </w:t>
      </w:r>
      <w:proofErr w:type="spellStart"/>
      <w:r w:rsidRPr="001B57D7">
        <w:rPr>
          <w:rFonts w:cs="Times New Roman"/>
        </w:rPr>
        <w:t>библотечную</w:t>
      </w:r>
      <w:proofErr w:type="spellEnd"/>
      <w:r w:rsidRPr="001B57D7">
        <w:rPr>
          <w:rFonts w:cs="Times New Roman"/>
        </w:rPr>
        <w:t xml:space="preserve"> сеть вошли 3 библиотеки путем присоединения библиотек сельского поселения </w:t>
      </w:r>
      <w:proofErr w:type="spellStart"/>
      <w:r w:rsidRPr="001B57D7">
        <w:rPr>
          <w:rFonts w:cs="Times New Roman"/>
        </w:rPr>
        <w:t>Степановское</w:t>
      </w:r>
      <w:proofErr w:type="spellEnd"/>
      <w:r w:rsidRPr="001B57D7">
        <w:rPr>
          <w:rFonts w:cs="Times New Roman"/>
        </w:rPr>
        <w:t xml:space="preserve">, в 2018 году число библиотек  МУ "Централизованная библиотечная система" </w:t>
      </w:r>
      <w:proofErr w:type="spellStart"/>
      <w:r w:rsidRPr="001B57D7">
        <w:rPr>
          <w:rFonts w:cs="Times New Roman"/>
        </w:rPr>
        <w:t>составлило</w:t>
      </w:r>
      <w:proofErr w:type="spellEnd"/>
      <w:r w:rsidRPr="001B57D7">
        <w:rPr>
          <w:rFonts w:cs="Times New Roman"/>
        </w:rPr>
        <w:t xml:space="preserve">  12 сетевых единиц.  </w:t>
      </w:r>
      <w:proofErr w:type="gramStart"/>
      <w:r w:rsidRPr="001B57D7">
        <w:rPr>
          <w:rFonts w:cs="Times New Roman"/>
        </w:rPr>
        <w:t>Также  в</w:t>
      </w:r>
      <w:proofErr w:type="gramEnd"/>
      <w:r w:rsidRPr="001B57D7">
        <w:rPr>
          <w:rFonts w:cs="Times New Roman"/>
        </w:rPr>
        <w:t xml:space="preserve"> 2018 году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сельский дом культуры "</w:t>
      </w:r>
      <w:proofErr w:type="spellStart"/>
      <w:r w:rsidRPr="001B57D7">
        <w:rPr>
          <w:rFonts w:cs="Times New Roman"/>
        </w:rPr>
        <w:t>Всеволодово</w:t>
      </w:r>
      <w:proofErr w:type="spellEnd"/>
      <w:r w:rsidRPr="001B57D7">
        <w:rPr>
          <w:rFonts w:cs="Times New Roman"/>
        </w:rPr>
        <w:t xml:space="preserve">"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 Количество музеев осталось на уровне 2017 года. </w:t>
      </w:r>
      <w:proofErr w:type="gramStart"/>
      <w:r w:rsidRPr="001B57D7">
        <w:rPr>
          <w:rFonts w:cs="Times New Roman"/>
        </w:rPr>
        <w:t>В  2019</w:t>
      </w:r>
      <w:proofErr w:type="gramEnd"/>
      <w:r w:rsidRPr="001B57D7">
        <w:rPr>
          <w:rFonts w:cs="Times New Roman"/>
        </w:rPr>
        <w:t xml:space="preserve"> году произошло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w:t>
      </w:r>
      <w:proofErr w:type="spellStart"/>
      <w:r w:rsidRPr="001B57D7">
        <w:rPr>
          <w:rFonts w:cs="Times New Roman"/>
        </w:rPr>
        <w:t>Паустовского,что</w:t>
      </w:r>
      <w:proofErr w:type="spellEnd"/>
      <w:r w:rsidRPr="001B57D7">
        <w:rPr>
          <w:rFonts w:cs="Times New Roman"/>
        </w:rPr>
        <w:t xml:space="preserve"> позволит повысить рейтинг  библиотек города.               Ежегодно для жителей города учреждениями культуры  проводится более    3 тысяч  культурно – досуговых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w:t>
      </w:r>
      <w:proofErr w:type="spellStart"/>
      <w:r w:rsidRPr="001B57D7">
        <w:rPr>
          <w:rFonts w:cs="Times New Roman"/>
        </w:rPr>
        <w:t>культуры,праздничные</w:t>
      </w:r>
      <w:proofErr w:type="spellEnd"/>
      <w:r w:rsidRPr="001B57D7">
        <w:rPr>
          <w:rFonts w:cs="Times New Roman"/>
        </w:rPr>
        <w:t xml:space="preserve"> программы, посвященные Всероссийским акциям: «</w:t>
      </w:r>
      <w:proofErr w:type="spellStart"/>
      <w:r w:rsidRPr="001B57D7">
        <w:rPr>
          <w:rFonts w:cs="Times New Roman"/>
        </w:rPr>
        <w:t>Библионочь</w:t>
      </w:r>
      <w:proofErr w:type="spellEnd"/>
      <w:r w:rsidRPr="001B57D7">
        <w:rPr>
          <w:rFonts w:cs="Times New Roman"/>
        </w:rPr>
        <w:t xml:space="preserve">»,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областных,1 всероссийский   и 2 международных проекта  в сфере культуры и искусства:  - Московский областной конкурс ансамблевого  </w:t>
      </w:r>
      <w:proofErr w:type="spellStart"/>
      <w:r w:rsidRPr="001B57D7">
        <w:rPr>
          <w:rFonts w:cs="Times New Roman"/>
        </w:rPr>
        <w:t>музицирования</w:t>
      </w:r>
      <w:proofErr w:type="spellEnd"/>
      <w:r w:rsidRPr="001B57D7">
        <w:rPr>
          <w:rFonts w:cs="Times New Roman"/>
        </w:rPr>
        <w:t xml:space="preserve">; - Московский областной конкурс оркестрового </w:t>
      </w:r>
      <w:proofErr w:type="spellStart"/>
      <w:r w:rsidRPr="001B57D7">
        <w:rPr>
          <w:rFonts w:cs="Times New Roman"/>
        </w:rPr>
        <w:t>музицирования</w:t>
      </w:r>
      <w:proofErr w:type="spellEnd"/>
      <w:r w:rsidRPr="001B57D7">
        <w:rPr>
          <w:rFonts w:cs="Times New Roman"/>
        </w:rPr>
        <w:t>; - Московская областная  выставка – конкурс  «Современная вышивка Подмосковья»; -Московская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w:t>
      </w:r>
      <w:r>
        <w:rPr>
          <w:rFonts w:cs="Times New Roman"/>
        </w:rPr>
        <w:t>е</w:t>
      </w:r>
      <w:r w:rsidRPr="001B57D7">
        <w:rPr>
          <w:rFonts w:cs="Times New Roman"/>
        </w:rPr>
        <w:t>ст</w:t>
      </w:r>
      <w:r>
        <w:rPr>
          <w:rFonts w:cs="Times New Roman"/>
        </w:rPr>
        <w:t>.</w:t>
      </w:r>
    </w:p>
    <w:p w:rsidR="001B57D7" w:rsidRDefault="001B57D7" w:rsidP="002200D0">
      <w:pPr>
        <w:ind w:firstLine="567"/>
        <w:jc w:val="both"/>
        <w:rPr>
          <w:rFonts w:cs="Times New Roman"/>
        </w:rPr>
      </w:pPr>
      <w:r w:rsidRPr="001B57D7">
        <w:rPr>
          <w:rFonts w:cs="Times New Roman"/>
        </w:rPr>
        <w:t xml:space="preserve">Муниципальные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2019 году проводятся  конкурсы  исполнительского мастерства обучающихся ДМШ и ДШИ электростальского методического объединения, Московский областной конкурс оркестрового </w:t>
      </w:r>
      <w:proofErr w:type="spellStart"/>
      <w:r w:rsidRPr="001B57D7">
        <w:rPr>
          <w:rFonts w:cs="Times New Roman"/>
        </w:rPr>
        <w:t>музицировая</w:t>
      </w:r>
      <w:proofErr w:type="spellEnd"/>
      <w:r w:rsidRPr="001B57D7">
        <w:rPr>
          <w:rFonts w:cs="Times New Roman"/>
        </w:rPr>
        <w:t xml:space="preserve">,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 для детей с ограничениями здоровья).        </w:t>
      </w:r>
      <w:proofErr w:type="gramStart"/>
      <w:r w:rsidRPr="001B57D7">
        <w:rPr>
          <w:rFonts w:cs="Times New Roman"/>
        </w:rPr>
        <w:t>Обучающиеся  музыкальных</w:t>
      </w:r>
      <w:proofErr w:type="gramEnd"/>
      <w:r w:rsidRPr="001B57D7">
        <w:rPr>
          <w:rFonts w:cs="Times New Roman"/>
        </w:rPr>
        <w:t xml:space="preserve">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w:t>
      </w:r>
      <w:proofErr w:type="gramStart"/>
      <w:r w:rsidRPr="001B57D7">
        <w:rPr>
          <w:rFonts w:cs="Times New Roman"/>
        </w:rPr>
        <w:t>( более</w:t>
      </w:r>
      <w:proofErr w:type="gramEnd"/>
      <w:r w:rsidRPr="001B57D7">
        <w:rPr>
          <w:rFonts w:cs="Times New Roman"/>
        </w:rPr>
        <w:t xml:space="preserve">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3532F8" w:rsidP="002200D0">
      <w:pPr>
        <w:ind w:firstLine="567"/>
        <w:jc w:val="both"/>
        <w:rPr>
          <w:rFonts w:cs="Times New Roman"/>
          <w:b/>
          <w:bCs/>
          <w:color w:val="333333"/>
        </w:rPr>
      </w:pPr>
      <w:r w:rsidRPr="005C3A01">
        <w:rPr>
          <w:rFonts w:cs="Times New Roman"/>
        </w:rPr>
        <w:t xml:space="preserve">  </w:t>
      </w:r>
      <w:r w:rsidR="005C3A01" w:rsidRPr="005C3A01">
        <w:rPr>
          <w:rFonts w:cs="Times New Roman"/>
          <w:b/>
          <w:bCs/>
          <w:color w:val="333333"/>
        </w:rPr>
        <w:t>Физическая культура и спорт</w:t>
      </w:r>
    </w:p>
    <w:p w:rsidR="000B6BB8" w:rsidRDefault="001B57D7" w:rsidP="002200D0">
      <w:pPr>
        <w:ind w:firstLine="567"/>
        <w:jc w:val="both"/>
        <w:rPr>
          <w:rFonts w:cs="Times New Roman"/>
        </w:rPr>
      </w:pPr>
      <w:r w:rsidRPr="001B57D7">
        <w:rPr>
          <w:rFonts w:cs="Times New Roman"/>
        </w:rPr>
        <w:t xml:space="preserve">Сфера спорта городского округа Электросталь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В городском округе Электросталь на 31.12.2018 всего занимается 2782 воспитанника из них: 2113 занимаются бесплатно и 669 - на платной основе. В настоящее время в муниципальных спортивных школах функционирует 18 отделений по видам спорта (с октября открыто отделение «фигурное катание»). В настоящее время на территории города развивается более 50 видов </w:t>
      </w:r>
      <w:proofErr w:type="spellStart"/>
      <w:r w:rsidRPr="001B57D7">
        <w:rPr>
          <w:rFonts w:cs="Times New Roman"/>
        </w:rPr>
        <w:t>спорта.В</w:t>
      </w:r>
      <w:proofErr w:type="spellEnd"/>
      <w:r w:rsidRPr="001B57D7">
        <w:rPr>
          <w:rFonts w:cs="Times New Roman"/>
        </w:rPr>
        <w:t xml:space="preserve"> 2018 году в рамках государственной программы Московской области «Спорт Подмосковья» на 2017-2021 годы построен </w:t>
      </w:r>
      <w:proofErr w:type="spellStart"/>
      <w:proofErr w:type="gramStart"/>
      <w:r w:rsidRPr="001B57D7">
        <w:rPr>
          <w:rFonts w:cs="Times New Roman"/>
        </w:rPr>
        <w:t>скейт</w:t>
      </w:r>
      <w:proofErr w:type="spellEnd"/>
      <w:r w:rsidRPr="001B57D7">
        <w:rPr>
          <w:rFonts w:cs="Times New Roman"/>
        </w:rPr>
        <w:t>-парк</w:t>
      </w:r>
      <w:proofErr w:type="gramEnd"/>
      <w:r w:rsidRPr="001B57D7">
        <w:rPr>
          <w:rFonts w:cs="Times New Roman"/>
        </w:rPr>
        <w:t xml:space="preserve"> общей площадью 800 кв.м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w:t>
      </w:r>
      <w:proofErr w:type="spellStart"/>
      <w:r w:rsidRPr="001B57D7">
        <w:rPr>
          <w:rFonts w:cs="Times New Roman"/>
        </w:rPr>
        <w:t>ФОКа</w:t>
      </w:r>
      <w:proofErr w:type="spellEnd"/>
      <w:r w:rsidRPr="001B57D7">
        <w:rPr>
          <w:rFonts w:cs="Times New Roman"/>
        </w:rPr>
        <w:t xml:space="preserve"> с бассейном, пр-т Южный, д.9, корп. 6   построена площадка для сдачи норм ГТО, это уже вторая площадка в городе она очень </w:t>
      </w:r>
      <w:proofErr w:type="gramStart"/>
      <w:r w:rsidRPr="001B57D7">
        <w:rPr>
          <w:rFonts w:cs="Times New Roman"/>
        </w:rPr>
        <w:t>востребована  Построена</w:t>
      </w:r>
      <w:proofErr w:type="gramEnd"/>
      <w:r w:rsidRPr="001B57D7">
        <w:rPr>
          <w:rFonts w:cs="Times New Roman"/>
        </w:rPr>
        <w:t xml:space="preserve"> площадка </w:t>
      </w:r>
      <w:proofErr w:type="spellStart"/>
      <w:r w:rsidRPr="001B57D7">
        <w:rPr>
          <w:rFonts w:cs="Times New Roman"/>
        </w:rPr>
        <w:t>Воркаут</w:t>
      </w:r>
      <w:proofErr w:type="spellEnd"/>
      <w:r w:rsidRPr="001B57D7">
        <w:rPr>
          <w:rFonts w:cs="Times New Roman"/>
        </w:rPr>
        <w:t xml:space="preserve"> на территории </w:t>
      </w:r>
      <w:proofErr w:type="spellStart"/>
      <w:r w:rsidRPr="001B57D7">
        <w:rPr>
          <w:rFonts w:cs="Times New Roman"/>
        </w:rPr>
        <w:t>с.п</w:t>
      </w:r>
      <w:proofErr w:type="spellEnd"/>
      <w:r w:rsidRPr="001B57D7">
        <w:rPr>
          <w:rFonts w:cs="Times New Roman"/>
        </w:rPr>
        <w:t xml:space="preserve">. </w:t>
      </w:r>
      <w:proofErr w:type="spellStart"/>
      <w:r w:rsidRPr="001B57D7">
        <w:rPr>
          <w:rFonts w:cs="Times New Roman"/>
        </w:rPr>
        <w:t>Степановское</w:t>
      </w:r>
      <w:proofErr w:type="spellEnd"/>
      <w:r w:rsidRPr="001B57D7">
        <w:rPr>
          <w:rFonts w:cs="Times New Roman"/>
        </w:rPr>
        <w:t xml:space="preserve"> (Ногинск-5).</w:t>
      </w:r>
    </w:p>
    <w:p w:rsidR="001B57D7" w:rsidRDefault="001B57D7" w:rsidP="002200D0">
      <w:pPr>
        <w:ind w:firstLine="567"/>
        <w:jc w:val="both"/>
        <w:rPr>
          <w:rFonts w:cs="Times New Roman"/>
        </w:rPr>
      </w:pPr>
      <w:r w:rsidRPr="001B57D7">
        <w:rPr>
          <w:rFonts w:cs="Times New Roman"/>
        </w:rPr>
        <w:t>Во втором варианте прогноза планируется рост обеспеченности объектами спорта, в этих целях в настоящий момент ведется работа по подготовке документации для включения городского округа Электросталь Московской области в Государственную программу "Спорт Подмосковья" по строительству многофункциональной спортивной школы, а также капитального ремонта зданий МБУ "Спортивная школа Олимпийского резерва по дзюдо и самбо "Электросталь"  и МБУ "Спортивная школа Олимпийского резерва по игровым видам спорта "Электросталь" на 2020 год.</w:t>
      </w:r>
    </w:p>
    <w:p w:rsidR="000B6BB8" w:rsidRDefault="000B6BB8"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67038C">
          <w:pgSz w:w="11906" w:h="16838"/>
          <w:pgMar w:top="1134" w:right="850" w:bottom="1134" w:left="1701" w:header="708" w:footer="708" w:gutter="0"/>
          <w:cols w:space="708"/>
          <w:docGrid w:linePitch="360"/>
        </w:sectPr>
      </w:pPr>
    </w:p>
    <w:tbl>
      <w:tblPr>
        <w:tblW w:w="15849" w:type="dxa"/>
        <w:tblInd w:w="83" w:type="dxa"/>
        <w:tblLayout w:type="fixed"/>
        <w:tblLook w:val="04A0" w:firstRow="1" w:lastRow="0" w:firstColumn="1" w:lastColumn="0" w:noHBand="0" w:noVBand="1"/>
      </w:tblPr>
      <w:tblGrid>
        <w:gridCol w:w="2981"/>
        <w:gridCol w:w="1673"/>
        <w:gridCol w:w="1223"/>
        <w:gridCol w:w="1223"/>
        <w:gridCol w:w="1223"/>
        <w:gridCol w:w="1200"/>
        <w:gridCol w:w="1223"/>
        <w:gridCol w:w="1328"/>
        <w:gridCol w:w="1223"/>
        <w:gridCol w:w="1329"/>
        <w:gridCol w:w="1223"/>
      </w:tblGrid>
      <w:tr w:rsidR="00EF5D60" w:rsidRPr="00EF5D60" w:rsidTr="00EF5D60">
        <w:trPr>
          <w:trHeight w:val="465"/>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sz w:val="28"/>
                <w:szCs w:val="28"/>
              </w:rPr>
            </w:pPr>
            <w:r w:rsidRPr="00EF5D60">
              <w:rPr>
                <w:rFonts w:ascii="Tahoma" w:hAnsi="Tahoma" w:cs="Tahoma"/>
                <w:sz w:val="28"/>
                <w:szCs w:val="28"/>
              </w:rPr>
              <w:t>ПРОГНОЗ СОЦИАЛЬНО-ЭКОНОМИЧЕСКОГО РАЗВИТИЯ НА 2020-2022 ГОДЫ</w:t>
            </w:r>
          </w:p>
        </w:tc>
      </w:tr>
      <w:tr w:rsidR="00EF5D60" w:rsidRPr="00EF5D60" w:rsidTr="00EF5D60">
        <w:trPr>
          <w:trHeight w:val="600"/>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Городской округ Электросталь</w:t>
            </w:r>
            <w:r w:rsidRPr="00EF5D60">
              <w:rPr>
                <w:rFonts w:ascii="Tahoma" w:hAnsi="Tahoma" w:cs="Tahoma"/>
                <w:b/>
                <w:bCs/>
                <w:sz w:val="20"/>
                <w:szCs w:val="20"/>
              </w:rPr>
              <w:br/>
              <w:t>Источник данных: Данные муниципальных образований (прогноз)</w:t>
            </w:r>
          </w:p>
        </w:tc>
      </w:tr>
      <w:tr w:rsidR="00EF5D60" w:rsidRPr="00EF5D60" w:rsidTr="00EF5D60">
        <w:trPr>
          <w:trHeight w:val="60"/>
        </w:trPr>
        <w:tc>
          <w:tcPr>
            <w:tcW w:w="2981"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673"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r>
      <w:tr w:rsidR="00EF5D60" w:rsidRPr="00EF5D60" w:rsidTr="00EF5D60">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Показатели</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2022</w:t>
            </w:r>
          </w:p>
        </w:tc>
      </w:tr>
      <w:tr w:rsidR="00EF5D60" w:rsidRPr="00EF5D60" w:rsidTr="00EF5D60">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673"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 Демографические показатели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постоянного населения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165 105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родившихся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Число умерших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Естественный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Миграционный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(среднегодовая)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 численности постоянного населения, в том числе в возрасте: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от 2 месяцев до 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4 022</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3 до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8 163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7 до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2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3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4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8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9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11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12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14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3. Промышленное производство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60 720,7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57 980,2</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1 755,2</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985,3</w:t>
            </w:r>
          </w:p>
        </w:tc>
      </w:tr>
      <w:tr w:rsidR="00EF5D60" w:rsidRPr="00EF5D60" w:rsidTr="00EF5D60">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54 543,3</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4. Сельское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Культуры зерновые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культур зерновых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Семена и плоды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семян и плодов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Картофель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картофеля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Овощи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10 998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овощей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Скот и птица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скота и птицы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123,1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Молоко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молока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Яйца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яиц</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6. Транспорт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 xml:space="preserve">7. Малое и среднее предпринимательство, включая </w:t>
            </w:r>
            <w:proofErr w:type="spellStart"/>
            <w:r w:rsidRPr="00EF5D60">
              <w:rPr>
                <w:rFonts w:ascii="Tahoma" w:hAnsi="Tahoma" w:cs="Tahoma"/>
                <w:b/>
                <w:bCs/>
                <w:sz w:val="18"/>
                <w:szCs w:val="18"/>
              </w:rPr>
              <w:t>микропредприятия</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Число малых и средних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 xml:space="preserve">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в том числе,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8. Инвестиции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за счет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 xml:space="preserve"> и индивидуальное жилищное строительство)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3 000,00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9. Строительство и жилищно-коммунальное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производства по виду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Ввод в действие жилых домов, построенных за счёт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 жильем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22,34</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Жилищный фонд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3 688,34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ветхих и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без учета Договора о развитии застроенной территории (</w:t>
            </w:r>
            <w:proofErr w:type="spellStart"/>
            <w:r w:rsidRPr="00EF5D60">
              <w:rPr>
                <w:rFonts w:ascii="Tahoma" w:hAnsi="Tahoma" w:cs="Tahoma"/>
                <w:sz w:val="18"/>
                <w:szCs w:val="18"/>
              </w:rPr>
              <w:t>ДоРЗТ</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Общая площадь аварийных жилых помещений (на конец года) в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ветхого и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Ликвидировано аварийного жилищного фонда за год - без учета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Ликвидировано аварийного жилищного фонда за год в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ветхого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11. Финансы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7 801 800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5 200 000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Прибыль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2 600 000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прибыли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12. Труд и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созданных рабочих мест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официально зарегистрированных безработных,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Фонд начисленной заработной платы всех работников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27 500,6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22 967,1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Фонд заработной платы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фонда заработной платы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51 989,9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60 506,0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Среднемесячная заработная плата работников малых </w:t>
            </w:r>
            <w:proofErr w:type="spellStart"/>
            <w:r w:rsidRPr="00EF5D60">
              <w:rPr>
                <w:rFonts w:ascii="Tahoma" w:hAnsi="Tahoma" w:cs="Tahoma"/>
                <w:sz w:val="18"/>
                <w:szCs w:val="18"/>
              </w:rPr>
              <w:t>предриятий</w:t>
            </w:r>
            <w:proofErr w:type="spellEnd"/>
            <w:r w:rsidRPr="00EF5D60">
              <w:rPr>
                <w:rFonts w:ascii="Tahoma" w:hAnsi="Tahoma" w:cs="Tahoma"/>
                <w:sz w:val="18"/>
                <w:szCs w:val="18"/>
              </w:rPr>
              <w:t xml:space="preserve">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среднемесячной заработной платы работников малых </w:t>
            </w:r>
            <w:proofErr w:type="spellStart"/>
            <w:r w:rsidRPr="00EF5D60">
              <w:rPr>
                <w:rFonts w:ascii="Tahoma" w:hAnsi="Tahoma" w:cs="Tahoma"/>
                <w:sz w:val="18"/>
                <w:szCs w:val="18"/>
              </w:rPr>
              <w:t>предриятий</w:t>
            </w:r>
            <w:proofErr w:type="spellEnd"/>
            <w:r w:rsidRPr="00EF5D60">
              <w:rPr>
                <w:rFonts w:ascii="Tahoma" w:hAnsi="Tahoma" w:cs="Tahoma"/>
                <w:sz w:val="18"/>
                <w:szCs w:val="18"/>
              </w:rPr>
              <w:t xml:space="preserve">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31 632</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Среднесписочная численность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среднесписочной численности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Среднемесячная заработная плата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среднемесячной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Фонд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фонда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Среднесписочная численность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среднесписочной численности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69 964,8</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54 129,0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53 880,1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62 004,1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proofErr w:type="spellStart"/>
            <w:proofErr w:type="gramStart"/>
            <w:r w:rsidRPr="00EF5D60">
              <w:rPr>
                <w:rFonts w:ascii="Tahoma" w:hAnsi="Tahoma" w:cs="Tahoma"/>
                <w:sz w:val="18"/>
                <w:szCs w:val="18"/>
              </w:rPr>
              <w:t>Справочно:Темп</w:t>
            </w:r>
            <w:proofErr w:type="spellEnd"/>
            <w:proofErr w:type="gramEnd"/>
            <w:r w:rsidRPr="00EF5D60">
              <w:rPr>
                <w:rFonts w:ascii="Tahoma" w:hAnsi="Tahoma" w:cs="Tahoma"/>
                <w:sz w:val="18"/>
                <w:szCs w:val="18"/>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77,37</w:t>
            </w:r>
          </w:p>
        </w:tc>
      </w:tr>
      <w:tr w:rsidR="00EF5D60" w:rsidRPr="00EF5D60" w:rsidTr="00EF5D60">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14. Торговля и услуги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площадью торговых объектов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кв.метров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1 625,3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Площадь торговых объектов предприятий розничной торговли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268,3</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Оборот розничной торговли: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44 659,1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17.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Дошкольное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мест в дошкольных муниципальных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Потребность в увеличении числа мест в дошкольных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общеобразовательных муниципальных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18. Культура и туризм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театрами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театров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общедоступными библиотеками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общедоступных библиотек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учреждениями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proofErr w:type="spellStart"/>
            <w:r w:rsidRPr="00EF5D60">
              <w:rPr>
                <w:rFonts w:ascii="Tahoma" w:hAnsi="Tahoma" w:cs="Tahoma"/>
                <w:sz w:val="18"/>
                <w:szCs w:val="18"/>
              </w:rPr>
              <w:t>Справочно</w:t>
            </w:r>
            <w:proofErr w:type="spellEnd"/>
            <w:r w:rsidRPr="00EF5D60">
              <w:rPr>
                <w:rFonts w:ascii="Tahoma" w:hAnsi="Tahoma" w:cs="Tahoma"/>
                <w:sz w:val="18"/>
                <w:szCs w:val="18"/>
              </w:rPr>
              <w:t>: наличие учреждений культурно-досугового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музеями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музеев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детей, привлекаемых к участию в творческих мероприятиях в сфере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19. Физическая культура и 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спортивными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спортивными залами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спортивных залов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плоскостными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плоскостных сооружений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плавательными бассейнами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плавательных бассейнов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кв.м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FA098C">
      <w:pPr>
        <w:jc w:val="both"/>
        <w:rPr>
          <w:rFonts w:cs="Times New Roman"/>
        </w:rPr>
        <w:sectPr w:rsidR="00FA098C" w:rsidSect="00EF5D60">
          <w:pgSz w:w="16838" w:h="11906" w:orient="landscape"/>
          <w:pgMar w:top="1701" w:right="536" w:bottom="850" w:left="567" w:header="708" w:footer="708" w:gutter="0"/>
          <w:cols w:space="708"/>
          <w:docGrid w:linePitch="360"/>
        </w:sectPr>
      </w:pPr>
    </w:p>
    <w:tbl>
      <w:tblPr>
        <w:tblpPr w:leftFromText="180" w:rightFromText="180" w:vertAnchor="page" w:horzAnchor="margin" w:tblpY="1636"/>
        <w:tblW w:w="15754" w:type="dxa"/>
        <w:tblLook w:val="04A0" w:firstRow="1" w:lastRow="0" w:firstColumn="1" w:lastColumn="0" w:noHBand="0" w:noVBand="1"/>
      </w:tblPr>
      <w:tblGrid>
        <w:gridCol w:w="3269"/>
        <w:gridCol w:w="1744"/>
        <w:gridCol w:w="1211"/>
        <w:gridCol w:w="1134"/>
        <w:gridCol w:w="1276"/>
        <w:gridCol w:w="1185"/>
        <w:gridCol w:w="1225"/>
        <w:gridCol w:w="1185"/>
        <w:gridCol w:w="1167"/>
        <w:gridCol w:w="1191"/>
        <w:gridCol w:w="1167"/>
      </w:tblGrid>
      <w:tr w:rsidR="00FA098C" w:rsidRPr="00FA098C" w:rsidTr="00FA098C">
        <w:trPr>
          <w:trHeight w:val="765"/>
        </w:trPr>
        <w:tc>
          <w:tcPr>
            <w:tcW w:w="15754" w:type="dxa"/>
            <w:gridSpan w:val="11"/>
            <w:tcBorders>
              <w:top w:val="nil"/>
              <w:left w:val="nil"/>
              <w:bottom w:val="nil"/>
              <w:right w:val="nil"/>
            </w:tcBorders>
            <w:shd w:val="clear" w:color="auto" w:fill="auto"/>
            <w:hideMark/>
          </w:tcPr>
          <w:p w:rsidR="00FA098C" w:rsidRPr="00FA098C" w:rsidRDefault="00FA098C" w:rsidP="00FA098C">
            <w:pPr>
              <w:jc w:val="center"/>
              <w:rPr>
                <w:rFonts w:cs="Times New Roman"/>
                <w:b/>
                <w:color w:val="333333"/>
              </w:rPr>
            </w:pPr>
            <w:r w:rsidRPr="00FA098C">
              <w:rPr>
                <w:rFonts w:cs="Times New Roman"/>
                <w:b/>
                <w:color w:val="333333"/>
              </w:rPr>
              <w:t>Прогноз социально-экономического развития городского округа Электросталь Московской области на 2019-2021 годы</w:t>
            </w:r>
          </w:p>
        </w:tc>
      </w:tr>
      <w:tr w:rsidR="00FA098C" w:rsidRPr="00FA098C"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2021</w:t>
            </w:r>
          </w:p>
        </w:tc>
      </w:tr>
      <w:tr w:rsidR="00FA098C" w:rsidRPr="00FA098C"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165 668</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Число родившихся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Число умерших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4 276</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8 542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16 636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1 561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59 889,1</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55 302,2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3 541,6</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1 045,3</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54 260,0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Масло сливочное, пасты масляные, масло топленое, жир молочный, спреды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Сахар белый свекловичный в твердом состоянии без </w:t>
            </w:r>
            <w:proofErr w:type="spellStart"/>
            <w:r w:rsidRPr="00FA098C">
              <w:rPr>
                <w:rFonts w:cs="Times New Roman"/>
                <w:color w:val="333333"/>
                <w:sz w:val="20"/>
                <w:szCs w:val="20"/>
              </w:rPr>
              <w:t>вкусоароматических</w:t>
            </w:r>
            <w:proofErr w:type="spellEnd"/>
            <w:r w:rsidRPr="00FA098C">
              <w:rPr>
                <w:rFonts w:cs="Times New Roman"/>
                <w:color w:val="333333"/>
                <w:sz w:val="20"/>
                <w:szCs w:val="20"/>
              </w:rPr>
              <w:t xml:space="preserve">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proofErr w:type="spellStart"/>
            <w:r w:rsidRPr="00FA098C">
              <w:rPr>
                <w:rFonts w:cs="Times New Roman"/>
                <w:color w:val="333333"/>
                <w:sz w:val="20"/>
                <w:szCs w:val="20"/>
              </w:rPr>
              <w:t>Справочно</w:t>
            </w:r>
            <w:proofErr w:type="spellEnd"/>
            <w:r w:rsidRPr="00FA098C">
              <w:rPr>
                <w:rFonts w:cs="Times New Roman"/>
                <w:color w:val="333333"/>
                <w:sz w:val="20"/>
                <w:szCs w:val="20"/>
              </w:rPr>
              <w:t xml:space="preserve">: Спирт этиловый </w:t>
            </w:r>
            <w:proofErr w:type="spellStart"/>
            <w:r w:rsidRPr="00FA098C">
              <w:rPr>
                <w:rFonts w:cs="Times New Roman"/>
                <w:color w:val="333333"/>
                <w:sz w:val="20"/>
                <w:szCs w:val="20"/>
              </w:rPr>
              <w:t>неденатурированный</w:t>
            </w:r>
            <w:proofErr w:type="spellEnd"/>
            <w:r w:rsidRPr="00FA098C">
              <w:rPr>
                <w:rFonts w:cs="Times New Roman"/>
                <w:color w:val="333333"/>
                <w:sz w:val="20"/>
                <w:szCs w:val="20"/>
              </w:rPr>
              <w:t xml:space="preserve">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proofErr w:type="spellStart"/>
            <w:r w:rsidRPr="00FA098C">
              <w:rPr>
                <w:rFonts w:cs="Times New Roman"/>
                <w:color w:val="333333"/>
                <w:sz w:val="20"/>
                <w:szCs w:val="20"/>
              </w:rPr>
              <w:t>Справочно</w:t>
            </w:r>
            <w:proofErr w:type="spellEnd"/>
            <w:r w:rsidRPr="00FA098C">
              <w:rPr>
                <w:rFonts w:cs="Times New Roman"/>
                <w:color w:val="333333"/>
                <w:sz w:val="20"/>
                <w:szCs w:val="20"/>
              </w:rPr>
              <w:t xml:space="preserve">: Напитки </w:t>
            </w:r>
            <w:proofErr w:type="spellStart"/>
            <w:r w:rsidRPr="00FA098C">
              <w:rPr>
                <w:rFonts w:cs="Times New Roman"/>
                <w:color w:val="333333"/>
                <w:sz w:val="20"/>
                <w:szCs w:val="20"/>
              </w:rPr>
              <w:t>сброженные</w:t>
            </w:r>
            <w:proofErr w:type="spellEnd"/>
            <w:r w:rsidRPr="00FA098C">
              <w:rPr>
                <w:rFonts w:cs="Times New Roman"/>
                <w:color w:val="333333"/>
                <w:sz w:val="20"/>
                <w:szCs w:val="20"/>
              </w:rPr>
              <w:t xml:space="preserve">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Пиво, кроме отходов пивоварения (включая напитки, изготовляемые на основе пива (</w:t>
            </w:r>
            <w:proofErr w:type="spellStart"/>
            <w:r w:rsidRPr="00FA098C">
              <w:rPr>
                <w:rFonts w:cs="Times New Roman"/>
                <w:color w:val="333333"/>
                <w:sz w:val="20"/>
                <w:szCs w:val="20"/>
              </w:rPr>
              <w:t>пиваные</w:t>
            </w:r>
            <w:proofErr w:type="spellEnd"/>
            <w:r w:rsidRPr="00FA098C">
              <w:rPr>
                <w:rFonts w:cs="Times New Roman"/>
                <w:color w:val="333333"/>
                <w:sz w:val="20"/>
                <w:szCs w:val="20"/>
              </w:rPr>
              <w:t xml:space="preserve"> напитки)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Портландцемент, цемент глиноземистый, цемент шлаковый 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млн. </w:t>
            </w:r>
            <w:proofErr w:type="spellStart"/>
            <w:r w:rsidRPr="00FA098C">
              <w:rPr>
                <w:rFonts w:cs="Times New Roman"/>
                <w:color w:val="333333"/>
                <w:sz w:val="20"/>
                <w:szCs w:val="20"/>
              </w:rPr>
              <w:t>усл</w:t>
            </w:r>
            <w:proofErr w:type="spellEnd"/>
            <w:r w:rsidRPr="00FA098C">
              <w:rPr>
                <w:rFonts w:cs="Times New Roman"/>
                <w:color w:val="333333"/>
                <w:sz w:val="20"/>
                <w:szCs w:val="20"/>
              </w:rPr>
              <w:t>.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16 000,00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2 985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123,1</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 xml:space="preserve">7. Малое и среднее предпринимательство, включая </w:t>
            </w:r>
            <w:proofErr w:type="spellStart"/>
            <w:r w:rsidRPr="00FA098C">
              <w:rPr>
                <w:rFonts w:cs="Times New Roman"/>
                <w:b/>
                <w:bCs/>
                <w:color w:val="333333"/>
                <w:sz w:val="20"/>
                <w:szCs w:val="20"/>
              </w:rPr>
              <w:t>микропредприятия</w:t>
            </w:r>
            <w:proofErr w:type="spell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Число малых и средних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Справочно: в том числе,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7 114,40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5 350,00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1 764,40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960,00</w:t>
            </w:r>
          </w:p>
        </w:tc>
      </w:tr>
      <w:tr w:rsidR="00FA098C" w:rsidRPr="00FA098C"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7,80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3 550,99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1 960 908,60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4 588 127,60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8 475 325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6 046 584</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5 844 897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201 687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Прибыль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2 428 741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прибыли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24 939,9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19 742,6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45 224,2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54 687,4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Среднемесячная заработная плата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45 956</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30 084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Среднемесячная заработная плата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61 803,2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56 100,0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proofErr w:type="spellStart"/>
            <w:proofErr w:type="gramStart"/>
            <w:r w:rsidRPr="00FA098C">
              <w:rPr>
                <w:rFonts w:cs="Times New Roman"/>
                <w:color w:val="333333"/>
                <w:sz w:val="20"/>
                <w:szCs w:val="20"/>
              </w:rPr>
              <w:t>Справочно:Темп</w:t>
            </w:r>
            <w:proofErr w:type="spellEnd"/>
            <w:proofErr w:type="gramEnd"/>
            <w:r w:rsidRPr="00FA098C">
              <w:rPr>
                <w:rFonts w:cs="Times New Roman"/>
                <w:color w:val="333333"/>
                <w:sz w:val="20"/>
                <w:szCs w:val="20"/>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кв.метров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268,3</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38 898,7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10 940,7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16 804,0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20 173,0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Доля детей, привлекаемых к участию в творческих мероприятиях в сфере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учреждениями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proofErr w:type="spellStart"/>
            <w:r w:rsidRPr="00FA098C">
              <w:rPr>
                <w:rFonts w:cs="Times New Roman"/>
                <w:color w:val="333333"/>
                <w:sz w:val="20"/>
                <w:szCs w:val="20"/>
              </w:rPr>
              <w:t>Справочно</w:t>
            </w:r>
            <w:proofErr w:type="spellEnd"/>
            <w:r w:rsidRPr="00FA098C">
              <w:rPr>
                <w:rFonts w:cs="Times New Roman"/>
                <w:color w:val="333333"/>
                <w:sz w:val="20"/>
                <w:szCs w:val="20"/>
              </w:rPr>
              <w:t>: наличие учреждений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1 975</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кв.м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r>
    </w:tbl>
    <w:p w:rsidR="00FA098C" w:rsidRDefault="00FA098C" w:rsidP="002200D0">
      <w:pPr>
        <w:ind w:firstLine="567"/>
        <w:jc w:val="both"/>
        <w:rPr>
          <w:rFonts w:cs="Times New Roman"/>
        </w:rPr>
      </w:pPr>
    </w:p>
    <w:sectPr w:rsidR="00FA098C" w:rsidSect="00FA098C">
      <w:pgSz w:w="16838" w:h="11906" w:orient="landscape"/>
      <w:pgMar w:top="964"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09" w:rsidRDefault="00BA7709" w:rsidP="00D546F7">
      <w:r>
        <w:separator/>
      </w:r>
    </w:p>
  </w:endnote>
  <w:endnote w:type="continuationSeparator" w:id="0">
    <w:p w:rsidR="00BA7709" w:rsidRDefault="00BA7709"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09" w:rsidRDefault="00BA7709" w:rsidP="00D546F7">
      <w:r>
        <w:separator/>
      </w:r>
    </w:p>
  </w:footnote>
  <w:footnote w:type="continuationSeparator" w:id="0">
    <w:p w:rsidR="00BA7709" w:rsidRDefault="00BA7709" w:rsidP="00D5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306DA"/>
    <w:rsid w:val="00030FBA"/>
    <w:rsid w:val="000A690C"/>
    <w:rsid w:val="000B6BB8"/>
    <w:rsid w:val="00113AAA"/>
    <w:rsid w:val="00136420"/>
    <w:rsid w:val="00173915"/>
    <w:rsid w:val="001A0CFF"/>
    <w:rsid w:val="001B57D7"/>
    <w:rsid w:val="001E4D5D"/>
    <w:rsid w:val="001E6D8E"/>
    <w:rsid w:val="002200D0"/>
    <w:rsid w:val="00225058"/>
    <w:rsid w:val="00235A39"/>
    <w:rsid w:val="0024163F"/>
    <w:rsid w:val="002948BE"/>
    <w:rsid w:val="002B4746"/>
    <w:rsid w:val="003411CE"/>
    <w:rsid w:val="003532F8"/>
    <w:rsid w:val="00392F1A"/>
    <w:rsid w:val="003A0776"/>
    <w:rsid w:val="003B48BE"/>
    <w:rsid w:val="00400D86"/>
    <w:rsid w:val="004141B9"/>
    <w:rsid w:val="004325A0"/>
    <w:rsid w:val="004843B9"/>
    <w:rsid w:val="004D37E6"/>
    <w:rsid w:val="004E12D9"/>
    <w:rsid w:val="00503F06"/>
    <w:rsid w:val="0051118A"/>
    <w:rsid w:val="00513D38"/>
    <w:rsid w:val="005248DD"/>
    <w:rsid w:val="0053125A"/>
    <w:rsid w:val="00532B35"/>
    <w:rsid w:val="00551653"/>
    <w:rsid w:val="00563433"/>
    <w:rsid w:val="005C3A01"/>
    <w:rsid w:val="00600070"/>
    <w:rsid w:val="00602F10"/>
    <w:rsid w:val="00614C61"/>
    <w:rsid w:val="00624E9B"/>
    <w:rsid w:val="0064274B"/>
    <w:rsid w:val="00652B2C"/>
    <w:rsid w:val="0067038C"/>
    <w:rsid w:val="00695D3C"/>
    <w:rsid w:val="006A2C39"/>
    <w:rsid w:val="00713603"/>
    <w:rsid w:val="00764646"/>
    <w:rsid w:val="007C0D02"/>
    <w:rsid w:val="007D5C3A"/>
    <w:rsid w:val="00824A63"/>
    <w:rsid w:val="00840BB6"/>
    <w:rsid w:val="00875CBC"/>
    <w:rsid w:val="00962B99"/>
    <w:rsid w:val="009A3F83"/>
    <w:rsid w:val="00A10057"/>
    <w:rsid w:val="00A5608E"/>
    <w:rsid w:val="00A57020"/>
    <w:rsid w:val="00A979ED"/>
    <w:rsid w:val="00AB7A17"/>
    <w:rsid w:val="00AC2AD8"/>
    <w:rsid w:val="00AE2A94"/>
    <w:rsid w:val="00B06948"/>
    <w:rsid w:val="00B3085C"/>
    <w:rsid w:val="00B31EDC"/>
    <w:rsid w:val="00B35581"/>
    <w:rsid w:val="00B3794C"/>
    <w:rsid w:val="00B45810"/>
    <w:rsid w:val="00B647D3"/>
    <w:rsid w:val="00BA7709"/>
    <w:rsid w:val="00BD0F35"/>
    <w:rsid w:val="00C06251"/>
    <w:rsid w:val="00C4501A"/>
    <w:rsid w:val="00C87F9B"/>
    <w:rsid w:val="00CA2128"/>
    <w:rsid w:val="00CC47F5"/>
    <w:rsid w:val="00CD3E4F"/>
    <w:rsid w:val="00D36AB5"/>
    <w:rsid w:val="00D546F7"/>
    <w:rsid w:val="00D93DF9"/>
    <w:rsid w:val="00DA3CB8"/>
    <w:rsid w:val="00DB4655"/>
    <w:rsid w:val="00DC292A"/>
    <w:rsid w:val="00E159AD"/>
    <w:rsid w:val="00E15C26"/>
    <w:rsid w:val="00E43CA2"/>
    <w:rsid w:val="00E502E8"/>
    <w:rsid w:val="00E67667"/>
    <w:rsid w:val="00E80A7D"/>
    <w:rsid w:val="00EA6405"/>
    <w:rsid w:val="00EC13A5"/>
    <w:rsid w:val="00EC2B78"/>
    <w:rsid w:val="00ED38B8"/>
    <w:rsid w:val="00EF5D60"/>
    <w:rsid w:val="00F31591"/>
    <w:rsid w:val="00F50721"/>
    <w:rsid w:val="00F52112"/>
    <w:rsid w:val="00F660E4"/>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DC762-18FA-46BB-859E-0AC1D66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9994-5EB6-4DF2-BCBB-CD56BC2F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18459</Words>
  <Characters>105222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A. Побежимова</cp:lastModifiedBy>
  <cp:revision>3</cp:revision>
  <cp:lastPrinted>2017-10-18T11:12:00Z</cp:lastPrinted>
  <dcterms:created xsi:type="dcterms:W3CDTF">2019-10-02T12:01:00Z</dcterms:created>
  <dcterms:modified xsi:type="dcterms:W3CDTF">2019-10-02T12:50:00Z</dcterms:modified>
</cp:coreProperties>
</file>