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Default="00EB10C6" w:rsidP="00EB10C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537687" w:rsidRDefault="00EB10C6" w:rsidP="00EB10C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B10C6" w:rsidRDefault="00EB10C6" w:rsidP="00EB10C6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B10C6" w:rsidRPr="00FC1C14" w:rsidRDefault="00EB10C6" w:rsidP="00EB10C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B10C6" w:rsidRDefault="00EB10C6" w:rsidP="00EB10C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B10C6" w:rsidRPr="0058294C" w:rsidRDefault="00EB10C6" w:rsidP="00EB10C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B10C6" w:rsidRDefault="00EB10C6" w:rsidP="00EB10C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B10C6" w:rsidRPr="00537687" w:rsidRDefault="00EB10C6" w:rsidP="00EB10C6">
      <w:pPr>
        <w:ind w:left="-1560" w:right="-567"/>
        <w:jc w:val="center"/>
        <w:rPr>
          <w:b/>
        </w:rPr>
      </w:pPr>
    </w:p>
    <w:p w:rsidR="00EB10C6" w:rsidRDefault="00EB10C6" w:rsidP="00EB10C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8D5CFD">
        <w:rPr>
          <w:u w:val="single"/>
        </w:rPr>
        <w:t xml:space="preserve">      </w:t>
      </w:r>
      <w:r>
        <w:t>_____ № ___</w:t>
      </w:r>
      <w:r w:rsidR="008D5CFD">
        <w:rPr>
          <w:u w:val="single"/>
        </w:rPr>
        <w:t xml:space="preserve">      </w:t>
      </w:r>
      <w:r>
        <w:t>________</w:t>
      </w:r>
    </w:p>
    <w:p w:rsidR="00DA3242" w:rsidRDefault="00DA3242" w:rsidP="00DA3242">
      <w:pPr>
        <w:ind w:right="-2" w:firstLine="1701"/>
        <w:rPr>
          <w:sz w:val="12"/>
        </w:rPr>
      </w:pPr>
    </w:p>
    <w:p w:rsidR="0026715B" w:rsidRPr="00C15404" w:rsidRDefault="0026715B" w:rsidP="0026715B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C15404">
        <w:t xml:space="preserve">О внесении изменений в муниципальную программу </w:t>
      </w:r>
    </w:p>
    <w:p w:rsidR="0026715B" w:rsidRPr="00C15404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15404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715B" w:rsidRPr="00C15404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ind w:firstLine="709"/>
        <w:jc w:val="both"/>
      </w:pPr>
      <w:r w:rsidRPr="00C15404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C15404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C15404">
        <w:rPr>
          <w:rFonts w:cs="Times New Roman"/>
        </w:rPr>
        <w:t>16.12.2021</w:t>
      </w:r>
      <w:r w:rsidRPr="00C15404">
        <w:rPr>
          <w:rFonts w:cs="Times New Roman"/>
        </w:rPr>
        <w:t xml:space="preserve"> №</w:t>
      </w:r>
      <w:r w:rsidR="00525857" w:rsidRPr="00C15404">
        <w:rPr>
          <w:rFonts w:cs="Times New Roman"/>
        </w:rPr>
        <w:t>106/22</w:t>
      </w:r>
      <w:r w:rsidRPr="00C15404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C15404">
        <w:rPr>
          <w:rFonts w:cs="Times New Roman"/>
        </w:rPr>
        <w:t>2</w:t>
      </w:r>
      <w:r w:rsidRPr="00C15404">
        <w:rPr>
          <w:rFonts w:cs="Times New Roman"/>
        </w:rPr>
        <w:t xml:space="preserve"> год и на плановый период 202</w:t>
      </w:r>
      <w:r w:rsidR="00D8550B" w:rsidRPr="00C15404">
        <w:rPr>
          <w:rFonts w:cs="Times New Roman"/>
        </w:rPr>
        <w:t>3</w:t>
      </w:r>
      <w:r w:rsidRPr="00C15404">
        <w:rPr>
          <w:rFonts w:cs="Times New Roman"/>
        </w:rPr>
        <w:t xml:space="preserve"> и 202</w:t>
      </w:r>
      <w:r w:rsidR="00D8550B" w:rsidRPr="00C15404">
        <w:rPr>
          <w:rFonts w:cs="Times New Roman"/>
        </w:rPr>
        <w:t>4</w:t>
      </w:r>
      <w:r w:rsidRPr="00C15404">
        <w:rPr>
          <w:rFonts w:cs="Times New Roman"/>
        </w:rPr>
        <w:t xml:space="preserve"> годов»</w:t>
      </w:r>
      <w:r w:rsidRPr="00C15404">
        <w:rPr>
          <w:kern w:val="16"/>
        </w:rPr>
        <w:t xml:space="preserve">, Администрация </w:t>
      </w:r>
      <w:r w:rsidRPr="00C15404">
        <w:t>городского округа Электросталь Московской области ПОСТАНОВЛЯЕТ: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1. Внести </w:t>
      </w:r>
      <w:hyperlink r:id="rId9" w:history="1">
        <w:r w:rsidRPr="00C15404">
          <w:rPr>
            <w:rFonts w:cs="Times New Roman"/>
          </w:rPr>
          <w:t>изменения</w:t>
        </w:r>
      </w:hyperlink>
      <w:r w:rsidRPr="00C15404">
        <w:rPr>
          <w:rFonts w:cs="Times New Roman"/>
        </w:rPr>
        <w:t xml:space="preserve"> в </w:t>
      </w:r>
      <w:r w:rsidRPr="00C15404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C15404">
        <w:t xml:space="preserve">, от 14.12.2021 </w:t>
      </w:r>
      <w:r w:rsidR="0068439A" w:rsidRPr="00C15404">
        <w:t>№956/12</w:t>
      </w:r>
      <w:r w:rsidR="008D5CFD">
        <w:t>, от 08.02.2022 №120/2, от 15.02.2022 №131/2</w:t>
      </w:r>
      <w:r w:rsidRPr="00C15404">
        <w:t xml:space="preserve">), </w:t>
      </w:r>
      <w:r w:rsidRPr="00C15404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</w:t>
      </w:r>
      <w:r w:rsidRPr="00C15404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C15404">
          <w:rPr>
            <w:rStyle w:val="a9"/>
            <w:color w:val="auto"/>
            <w:u w:val="none"/>
          </w:rPr>
          <w:t>www.electrostal.ru</w:t>
        </w:r>
      </w:hyperlink>
      <w:r w:rsidRPr="00C15404">
        <w:t>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3. </w:t>
      </w:r>
      <w:r w:rsidRPr="00C15404">
        <w:t>Настоящее постановление вступает в силу на следующий день после его официального опубликования.</w:t>
      </w:r>
    </w:p>
    <w:p w:rsidR="0026715B" w:rsidRPr="00C15404" w:rsidRDefault="0026715B" w:rsidP="0026715B">
      <w:pPr>
        <w:ind w:firstLine="540"/>
        <w:jc w:val="both"/>
      </w:pPr>
      <w:r w:rsidRPr="00C15404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C15404">
        <w:rPr>
          <w:rFonts w:cs="Times New Roman"/>
        </w:rPr>
        <w:t>Печникову</w:t>
      </w:r>
      <w:proofErr w:type="spellEnd"/>
      <w:r w:rsidRPr="00C15404">
        <w:rPr>
          <w:rFonts w:cs="Times New Roman"/>
        </w:rPr>
        <w:t xml:space="preserve"> О.В.</w:t>
      </w:r>
    </w:p>
    <w:p w:rsidR="0026715B" w:rsidRPr="00C15404" w:rsidRDefault="0026715B" w:rsidP="0026715B">
      <w:pPr>
        <w:tabs>
          <w:tab w:val="center" w:pos="4677"/>
        </w:tabs>
        <w:jc w:val="both"/>
      </w:pPr>
    </w:p>
    <w:p w:rsidR="0026715B" w:rsidRPr="00C15404" w:rsidRDefault="0026715B" w:rsidP="0026715B">
      <w:pPr>
        <w:tabs>
          <w:tab w:val="center" w:pos="4677"/>
        </w:tabs>
        <w:jc w:val="both"/>
      </w:pPr>
    </w:p>
    <w:p w:rsidR="0026715B" w:rsidRPr="00C15404" w:rsidRDefault="0026715B" w:rsidP="0026715B">
      <w:pPr>
        <w:tabs>
          <w:tab w:val="center" w:pos="4677"/>
        </w:tabs>
        <w:jc w:val="both"/>
      </w:pPr>
      <w:r w:rsidRPr="00C15404">
        <w:t>Глава городского округа                                                                                 И.Ю.</w:t>
      </w:r>
      <w:r w:rsidR="00907463">
        <w:t xml:space="preserve"> </w:t>
      </w:r>
      <w:r w:rsidRPr="00C15404">
        <w:t>Волкова</w:t>
      </w:r>
    </w:p>
    <w:p w:rsidR="0026715B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A27698" w:rsidRPr="00C15404" w:rsidRDefault="00A27698" w:rsidP="0026715B">
      <w:pPr>
        <w:spacing w:line="192" w:lineRule="auto"/>
        <w:jc w:val="both"/>
        <w:rPr>
          <w:sz w:val="23"/>
          <w:szCs w:val="23"/>
        </w:rPr>
      </w:pP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</w:pP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  <w:sectPr w:rsidR="0026715B" w:rsidRPr="00C15404" w:rsidSect="00980720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lastRenderedPageBreak/>
        <w:t>Приложение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>от ___</w:t>
      </w:r>
      <w:r w:rsidR="00F432F9">
        <w:rPr>
          <w:rFonts w:cs="Times New Roman"/>
          <w:u w:val="single"/>
        </w:rPr>
        <w:t xml:space="preserve">                </w:t>
      </w:r>
      <w:r w:rsidRPr="00C15404">
        <w:rPr>
          <w:rFonts w:cs="Times New Roman"/>
        </w:rPr>
        <w:t>__ №____</w:t>
      </w:r>
      <w:r w:rsidR="00F432F9">
        <w:rPr>
          <w:rFonts w:cs="Times New Roman"/>
          <w:u w:val="single"/>
        </w:rPr>
        <w:t xml:space="preserve">     </w:t>
      </w:r>
      <w:r w:rsidRPr="00C15404">
        <w:rPr>
          <w:rFonts w:cs="Times New Roman"/>
        </w:rPr>
        <w:t>_______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«УТВЕРЖДЕНА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 xml:space="preserve">от 16.12.2019 № 957/12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(в редакции постановлений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14.02.2020 №85/2, от 23.03.2020 №203/3,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21.04.2020 №267/4, от 23.06.2020 №393/6,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15.10.2020 №684/10, от 11.01.2021 №2/1,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24.02.2021 №139/2, от 26.05.2021 №408/5, </w:t>
      </w:r>
    </w:p>
    <w:p w:rsidR="0068439A" w:rsidRPr="00C15404" w:rsidRDefault="0026715B" w:rsidP="0026715B">
      <w:pPr>
        <w:ind w:left="9356"/>
        <w:outlineLvl w:val="0"/>
      </w:pPr>
      <w:r w:rsidRPr="00C15404">
        <w:t>от 04.08.2021 №614/8, от 29.10.2021 №820/10</w:t>
      </w:r>
      <w:r w:rsidR="0068439A" w:rsidRPr="00C15404">
        <w:t>,</w:t>
      </w:r>
    </w:p>
    <w:p w:rsidR="008D5CFD" w:rsidRDefault="0068439A" w:rsidP="0026715B">
      <w:pPr>
        <w:ind w:left="9356"/>
        <w:outlineLvl w:val="0"/>
      </w:pPr>
      <w:r w:rsidRPr="00C15404">
        <w:t>от 14.12.2021 №956/12</w:t>
      </w:r>
      <w:r w:rsidR="008D5CFD">
        <w:t xml:space="preserve">, 08.02.2022 №120/2, </w:t>
      </w:r>
    </w:p>
    <w:p w:rsidR="0026715B" w:rsidRPr="00C15404" w:rsidRDefault="008D5CFD" w:rsidP="0026715B">
      <w:pPr>
        <w:ind w:left="9356"/>
        <w:outlineLvl w:val="0"/>
        <w:rPr>
          <w:rFonts w:cs="Times New Roman"/>
        </w:rPr>
      </w:pPr>
      <w:r>
        <w:t>от 15.02.2022 №131/2</w:t>
      </w:r>
      <w:r w:rsidR="0026715B" w:rsidRPr="00C15404">
        <w:t>)</w:t>
      </w:r>
    </w:p>
    <w:p w:rsidR="0026715B" w:rsidRPr="00C15404" w:rsidRDefault="0026715B" w:rsidP="0026715B">
      <w:pPr>
        <w:outlineLvl w:val="0"/>
        <w:rPr>
          <w:rFonts w:cs="Times New Roman"/>
        </w:rPr>
      </w:pP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C15404" w:rsidRPr="00C15404" w:rsidTr="00FB107A">
        <w:tc>
          <w:tcPr>
            <w:tcW w:w="3685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15404" w:rsidRPr="00C15404" w:rsidTr="00FB107A">
        <w:tc>
          <w:tcPr>
            <w:tcW w:w="3685" w:type="dxa"/>
            <w:vMerge/>
          </w:tcPr>
          <w:p w:rsidR="0026715B" w:rsidRPr="00C15404" w:rsidRDefault="0026715B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C15404" w:rsidRPr="00C15404" w:rsidTr="00FB107A">
        <w:trPr>
          <w:trHeight w:val="834"/>
        </w:trPr>
        <w:tc>
          <w:tcPr>
            <w:tcW w:w="3685" w:type="dxa"/>
          </w:tcPr>
          <w:p w:rsidR="00AC7124" w:rsidRPr="00C15404" w:rsidRDefault="00AC7124" w:rsidP="00AC7124">
            <w:pPr>
              <w:rPr>
                <w:rFonts w:cs="Times New Roman"/>
              </w:rPr>
            </w:pPr>
            <w:r w:rsidRPr="00C1540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2 367 731,2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493 382,3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469 376,7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476 673,1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473 151,5</w:t>
            </w:r>
          </w:p>
        </w:tc>
        <w:tc>
          <w:tcPr>
            <w:tcW w:w="1985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455 147,6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20 274,0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4 077,0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4 087,0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4 087,0</w:t>
            </w:r>
          </w:p>
        </w:tc>
        <w:tc>
          <w:tcPr>
            <w:tcW w:w="1985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4 087,0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2 388 005,2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497 459,3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473 312,7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480 760,1</w:t>
            </w:r>
          </w:p>
        </w:tc>
        <w:tc>
          <w:tcPr>
            <w:tcW w:w="1701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477 238,5</w:t>
            </w:r>
          </w:p>
        </w:tc>
        <w:tc>
          <w:tcPr>
            <w:tcW w:w="1985" w:type="dxa"/>
            <w:vAlign w:val="center"/>
          </w:tcPr>
          <w:p w:rsidR="00AC7124" w:rsidRPr="00C15404" w:rsidRDefault="00AC7124" w:rsidP="00AC7124">
            <w:pPr>
              <w:jc w:val="center"/>
              <w:rPr>
                <w:szCs w:val="22"/>
              </w:rPr>
            </w:pPr>
            <w:r w:rsidRPr="00C15404">
              <w:rPr>
                <w:szCs w:val="22"/>
              </w:rPr>
              <w:t>459 234,6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Ключевыми целями и вопросами управления имуществом и финансами независимо от уровня и полномочий властных структур является </w:t>
      </w: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создание благоприятных условий для жизни и деятельности граждан и организаций.</w:t>
      </w:r>
    </w:p>
    <w:p w:rsidR="0026715B" w:rsidRPr="00C15404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>муниципальной программы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540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C15404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Подпрограмма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>Подпрограмма</w:t>
      </w:r>
      <w:proofErr w:type="gramStart"/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>«</w:t>
      </w:r>
      <w:proofErr w:type="gramEnd"/>
      <w:r w:rsidRPr="00C15404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с обоснованием необходимости их осуществления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Подпрограммой </w:t>
      </w:r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 xml:space="preserve"> «Обеспечивающая подпрограмма»</w:t>
      </w:r>
      <w:r w:rsidR="00D765A1" w:rsidRPr="00C15404">
        <w:rPr>
          <w:rFonts w:cs="Times New Roman"/>
        </w:rPr>
        <w:t xml:space="preserve"> </w:t>
      </w:r>
      <w:r w:rsidRPr="00C15404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C15404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1540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C15404" w:rsidRDefault="0026715B" w:rsidP="0026715B">
      <w:pPr>
        <w:rPr>
          <w:rFonts w:cs="Times New Roman"/>
          <w:szCs w:val="20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</w:rPr>
        <w:lastRenderedPageBreak/>
        <w:t xml:space="preserve">6. </w:t>
      </w:r>
      <w:r w:rsidRPr="00C15404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C15404" w:rsidRPr="00C15404" w:rsidTr="00FB107A">
        <w:tc>
          <w:tcPr>
            <w:tcW w:w="5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C15404" w:rsidRPr="00C15404" w:rsidTr="00FB107A">
        <w:tc>
          <w:tcPr>
            <w:tcW w:w="569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r w:rsidR="00D765A1" w:rsidRPr="00C15404">
              <w:rPr>
                <w:rFonts w:ascii="Times New Roman" w:hAnsi="Times New Roman" w:cs="Times New Roman"/>
                <w:szCs w:val="22"/>
                <w:lang w:eastAsia="en-US"/>
              </w:rPr>
              <w:t>объектов недвижимого</w:t>
            </w: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C3CFD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 Президента РФ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от 28.04.2008   № 607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15404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Государственная программа МО «Предпринимательство Подмосковья</w:t>
            </w:r>
            <w:r w:rsidR="00FC3CFD" w:rsidRPr="00C15404">
              <w:rPr>
                <w:rFonts w:cs="Times New Roman"/>
                <w:sz w:val="22"/>
                <w:szCs w:val="22"/>
              </w:rPr>
              <w:t>»</w:t>
            </w:r>
            <w:r w:rsidRPr="00C15404">
              <w:rPr>
                <w:rFonts w:cs="Times New Roman"/>
                <w:sz w:val="22"/>
                <w:szCs w:val="22"/>
              </w:rPr>
              <w:t xml:space="preserve"> на 2017-2024 годы»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C15404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56649B">
        <w:tc>
          <w:tcPr>
            <w:tcW w:w="569" w:type="dxa"/>
          </w:tcPr>
          <w:p w:rsidR="00FC3CFD" w:rsidRPr="00C15404" w:rsidRDefault="00FC3CFD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rPr>
                <w:rFonts w:cs="Times New Roman"/>
                <w:i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cs="Times New Roman"/>
                <w:sz w:val="22"/>
              </w:rPr>
              <w:br/>
              <w:t>по результатам МЗК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C1540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03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нормативам отчислений)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C15404">
        <w:rPr>
          <w:rFonts w:cs="Times New Roman"/>
          <w:sz w:val="22"/>
        </w:rPr>
        <w:br w:type="page"/>
      </w:r>
      <w:r w:rsidRPr="00C15404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C15404" w:rsidTr="00FB107A">
        <w:trPr>
          <w:trHeight w:val="759"/>
        </w:trPr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C1540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5404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Cs w:val="28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C15404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C15404">
              <w:rPr>
                <w:rFonts w:cs="Times New Roman"/>
                <w:sz w:val="22"/>
                <w:szCs w:val="22"/>
              </w:rPr>
              <w:t>значение –</w:t>
            </w:r>
            <w:r w:rsidRPr="00C15404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C15404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C15404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C15404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наложенным штрафам.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Пз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C15404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C15404">
              <w:rPr>
                <w:rFonts w:cs="Times New Roman"/>
                <w:sz w:val="22"/>
                <w:szCs w:val="22"/>
              </w:rPr>
              <w:tab/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C15404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Рейтингование</w:t>
            </w:r>
            <w:proofErr w:type="spellEnd"/>
            <w:r w:rsidRPr="00C15404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C15404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КЗп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C15404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C15404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C15404">
              <w:rPr>
                <w:rFonts w:ascii="Times New Roman" w:hAnsi="Times New Roman"/>
              </w:rPr>
              <w:t>и.т.п</w:t>
            </w:r>
            <w:proofErr w:type="spellEnd"/>
            <w:r w:rsidRPr="00C15404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C15404">
              <w:rPr>
                <w:sz w:val="22"/>
                <w:szCs w:val="22"/>
              </w:rPr>
              <w:t>Минмособлимущества</w:t>
            </w:r>
            <w:proofErr w:type="spellEnd"/>
            <w:r w:rsidRPr="00C15404">
              <w:rPr>
                <w:sz w:val="22"/>
                <w:szCs w:val="22"/>
              </w:rPr>
              <w:t xml:space="preserve">. Расчет производится </w:t>
            </w:r>
            <w:r w:rsidRPr="00C15404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  Базовое (нормативное) значение – </w:t>
            </w:r>
            <w:r w:rsidRPr="00C15404">
              <w:rPr>
                <w:rFonts w:cs="Times New Roman"/>
                <w:sz w:val="22"/>
                <w:szCs w:val="22"/>
              </w:rPr>
              <w:t>0</w:t>
            </w:r>
            <w:r w:rsidRPr="00C15404">
              <w:rPr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C15404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C15404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C15404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C15404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t>Росреестр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C15404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C15404">
              <w:rPr>
                <w:rFonts w:cs="Times New Roman"/>
                <w:sz w:val="22"/>
                <w:szCs w:val="22"/>
              </w:rPr>
              <w:t>– %</w:t>
            </w:r>
            <w:r w:rsidRPr="00C15404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*Если (КС*А*КРК) больше РВИ, то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Адр</w:t>
            </w:r>
            <w:proofErr w:type="spellEnd"/>
            <w:r w:rsidRPr="00C15404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C15404">
              <w:rPr>
                <w:rFonts w:ascii="Times New Roman" w:hAnsi="Times New Roman"/>
              </w:rPr>
              <w:t>РГИС.Источник</w:t>
            </w:r>
            <w:proofErr w:type="spellEnd"/>
            <w:r w:rsidRPr="00C15404">
              <w:rPr>
                <w:rFonts w:ascii="Times New Roman" w:hAnsi="Times New Roman"/>
              </w:rPr>
              <w:t xml:space="preserve">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C15404">
              <w:rPr>
                <w:rFonts w:ascii="Times New Roman" w:hAnsi="Times New Roman"/>
              </w:rPr>
              <w:t>ОМСУ.Сведения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C15404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C15404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1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2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3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C15404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Аобщ</w:t>
            </w:r>
            <w:proofErr w:type="spellEnd"/>
            <w:r w:rsidRPr="00C15404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Cs w:val="28"/>
              </w:rPr>
            </w:pPr>
            <w:proofErr w:type="spellStart"/>
            <w:r w:rsidRPr="00C15404">
              <w:rPr>
                <w:sz w:val="22"/>
                <w:szCs w:val="22"/>
              </w:rPr>
              <w:t>Амсп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rFonts w:cs="Times New Roman"/>
                <w:sz w:val="22"/>
              </w:rPr>
              <w:t>Система ГАС «Управление»</w:t>
            </w:r>
            <w:r w:rsidRPr="00C15404">
              <w:rPr>
                <w:sz w:val="22"/>
              </w:rPr>
              <w:t>, ОМС,</w:t>
            </w:r>
          </w:p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sz w:val="22"/>
              </w:rPr>
              <w:t xml:space="preserve">Комитет </w:t>
            </w:r>
            <w:r w:rsidRPr="00C15404">
              <w:rPr>
                <w:sz w:val="22"/>
              </w:rPr>
              <w:br/>
              <w:t>по конкурентной политике МО.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1.13.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eastAsiaTheme="minorEastAsia" w:cs="Times New Roman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C15404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C15404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C15404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C15404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C15404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C15404" w:rsidRDefault="008516C5" w:rsidP="00A508CF">
            <w:pPr>
              <w:ind w:firstLine="567"/>
              <w:jc w:val="both"/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C15404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C15404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eastAsiaTheme="minorEastAsia" w:cs="Times New Roman"/>
                <w:sz w:val="22"/>
              </w:rPr>
              <w:t xml:space="preserve">, данные, внесенные ОМС </w:t>
            </w:r>
            <w:proofErr w:type="gramStart"/>
            <w:r w:rsidRPr="00C15404">
              <w:rPr>
                <w:rFonts w:eastAsiaTheme="minorEastAsia" w:cs="Times New Roman"/>
                <w:sz w:val="22"/>
              </w:rPr>
              <w:t>в ГАС</w:t>
            </w:r>
            <w:proofErr w:type="gramEnd"/>
            <w:r w:rsidRPr="00C15404">
              <w:rPr>
                <w:rFonts w:eastAsiaTheme="minorEastAsia" w:cs="Times New Roman"/>
                <w:sz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15404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C15404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cs="Times New Roman"/>
                <w:sz w:val="22"/>
              </w:rPr>
              <w:t>Московской области</w:t>
            </w:r>
            <w:r w:rsidRPr="00C15404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C15404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C15404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Муниципальный заказчик подпрограммы: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Ответственный за выполнение мероприятия: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9. Состав, форма и сроки представления отчетности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C15404">
        <w:rPr>
          <w:rFonts w:cs="Times New Roman"/>
        </w:rPr>
        <w:t>МОотчетность</w:t>
      </w:r>
      <w:proofErr w:type="spellEnd"/>
      <w:r w:rsidRPr="00C15404">
        <w:rPr>
          <w:rFonts w:cs="Times New Roman"/>
        </w:rPr>
        <w:t xml:space="preserve"> о реализации муниципальной программы. 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ind w:firstLine="9639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 xml:space="preserve">Приложение №1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531 351,0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109 782,8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105 464,4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100 004,0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511 077,0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105 846,8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101 377,4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95 917,0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460 911,0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96</w:t>
            </w:r>
            <w:r w:rsidR="00423A5F" w:rsidRPr="00C15404">
              <w:rPr>
                <w:sz w:val="22"/>
                <w:szCs w:val="22"/>
              </w:rPr>
              <w:t> 800,5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89 006,2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86 078,2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440 637,0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92</w:t>
            </w:r>
            <w:r w:rsidR="00423A5F" w:rsidRPr="00C15404">
              <w:rPr>
                <w:sz w:val="22"/>
                <w:szCs w:val="22"/>
              </w:rPr>
              <w:t> 864,5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84 919,2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81 991,2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Уровень развития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C154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5404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C15404">
        <w:rPr>
          <w:rFonts w:cs="Times New Roman"/>
        </w:rPr>
        <w:t>кв.метров</w:t>
      </w:r>
      <w:proofErr w:type="spellEnd"/>
      <w:r w:rsidRPr="00C15404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C15404">
        <w:rPr>
          <w:rFonts w:cs="Times New Roman"/>
        </w:rPr>
        <w:t>Кроме того</w:t>
      </w:r>
      <w:proofErr w:type="gramEnd"/>
      <w:r w:rsidRPr="00C15404">
        <w:rPr>
          <w:rFonts w:cs="Times New Roman"/>
        </w:rPr>
        <w:t xml:space="preserve"> дефицит земельных участков, </w:t>
      </w:r>
      <w:r w:rsidRPr="00C15404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C15404">
        <w:rPr>
          <w:rFonts w:cs="Times New Roman"/>
          <w:lang w:eastAsia="en-US"/>
        </w:rPr>
        <w:t>инвестиционно</w:t>
      </w:r>
      <w:proofErr w:type="spellEnd"/>
      <w:r w:rsidRPr="00C15404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C15404">
        <w:rPr>
          <w:rFonts w:cs="Times New Roman"/>
          <w:lang w:eastAsia="en-US"/>
        </w:rPr>
        <w:t>имущество,  полученное</w:t>
      </w:r>
      <w:proofErr w:type="gramEnd"/>
      <w:r w:rsidRPr="00C15404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C15404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C15404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C15404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C15404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354 962,04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68 287,54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354 962,04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68 287,54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213 819,94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43 317,54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213 819,94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43 317,54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EA699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26715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EA699B" w:rsidRPr="00C15404">
              <w:rPr>
                <w:sz w:val="20"/>
                <w:szCs w:val="20"/>
              </w:rPr>
              <w:t> 499,1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4 499,1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D2765E">
        <w:trPr>
          <w:trHeight w:val="282"/>
        </w:trPr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CB0560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CB0560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156 114,94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33 117,0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531 351,0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109 782,8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105 464,4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105 184,7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100 004,0</w:t>
            </w:r>
          </w:p>
        </w:tc>
        <w:tc>
          <w:tcPr>
            <w:tcW w:w="3902" w:type="dxa"/>
            <w:gridSpan w:val="2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511 077,0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105 846,8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101 377,4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101 097,7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95 917,0</w:t>
            </w:r>
          </w:p>
        </w:tc>
        <w:tc>
          <w:tcPr>
            <w:tcW w:w="3902" w:type="dxa"/>
            <w:gridSpan w:val="2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2765E" w:rsidRPr="00C15404" w:rsidRDefault="00D276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20 274,0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3902" w:type="dxa"/>
            <w:gridSpan w:val="2"/>
            <w:vMerge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№2</w:t>
      </w:r>
    </w:p>
    <w:p w:rsidR="0026715B" w:rsidRPr="00C15404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5 955,3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593,7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353,0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273,5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5 955,3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1 593,7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1 353,0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1 273,5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3 686,9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962,2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3 686,9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962,2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790,3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790,3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 w:val="restart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lastRenderedPageBreak/>
        <w:t>2. Характеристика проблем</w:t>
      </w:r>
      <w:r w:rsidRPr="00C15404">
        <w:t>, решаемых посредством мероприятий подпрограммы.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C15404">
        <w:rPr>
          <w:rFonts w:cs="Times New Roman"/>
        </w:rPr>
        <w:t>Московской области</w:t>
      </w:r>
      <w:r w:rsidRPr="00C15404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</w:t>
      </w:r>
      <w:hyperlink r:id="rId16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C15404" w:rsidRDefault="0026715B" w:rsidP="0026715B">
      <w:pPr>
        <w:jc w:val="center"/>
        <w:rPr>
          <w:rFonts w:cs="Times New Roman"/>
        </w:rPr>
      </w:pPr>
      <w:r w:rsidRPr="00C15404">
        <w:rPr>
          <w:rFonts w:cs="Times New Roman"/>
        </w:rPr>
        <w:br w:type="page"/>
      </w:r>
      <w:r w:rsidRPr="00C15404">
        <w:rPr>
          <w:rFonts w:cs="Times New Roman"/>
        </w:rPr>
        <w:lastRenderedPageBreak/>
        <w:t>3. Перечень мероприятий подпрограммы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rPr>
          <w:trHeight w:val="28"/>
        </w:trPr>
        <w:tc>
          <w:tcPr>
            <w:tcW w:w="5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593,7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220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CD6A24" w:rsidRPr="00C15404" w:rsidRDefault="00CD6A24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1 161,7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1 161,7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770,2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rPr>
          <w:trHeight w:val="2847"/>
        </w:trPr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227,8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51,5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4 793,6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295,2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048,5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4 793,6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1 295,2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2 916,7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762,2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391,0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1 003,9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562,5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</w:t>
            </w:r>
            <w:r w:rsidR="0026715B" w:rsidRPr="00C154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33050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26715B" w:rsidRPr="00C15404" w:rsidRDefault="0026715B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330500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330500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  <w:vMerge/>
          </w:tcPr>
          <w:p w:rsidR="00330500" w:rsidRPr="00C15404" w:rsidRDefault="00330500" w:rsidP="0033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30500" w:rsidRPr="00C15404" w:rsidRDefault="00330500" w:rsidP="0033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30500" w:rsidRPr="00C15404" w:rsidRDefault="00330500" w:rsidP="0033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30500" w:rsidRPr="00C15404" w:rsidRDefault="00330500" w:rsidP="0033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30500" w:rsidRPr="00C15404" w:rsidRDefault="00330500" w:rsidP="0033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5 955,3</w:t>
            </w:r>
          </w:p>
        </w:tc>
        <w:tc>
          <w:tcPr>
            <w:tcW w:w="992" w:type="dxa"/>
          </w:tcPr>
          <w:p w:rsidR="00330500" w:rsidRPr="00C15404" w:rsidRDefault="00330500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330500" w:rsidRPr="00C15404" w:rsidRDefault="00330500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330500" w:rsidRPr="00C15404" w:rsidRDefault="00330500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1 593,7</w:t>
            </w:r>
          </w:p>
        </w:tc>
        <w:tc>
          <w:tcPr>
            <w:tcW w:w="993" w:type="dxa"/>
          </w:tcPr>
          <w:p w:rsidR="00330500" w:rsidRPr="00C15404" w:rsidRDefault="00330500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330500" w:rsidRPr="00C15404" w:rsidRDefault="00330500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4326" w:type="dxa"/>
            <w:gridSpan w:val="2"/>
            <w:vMerge/>
          </w:tcPr>
          <w:p w:rsidR="00330500" w:rsidRPr="00C15404" w:rsidRDefault="00330500" w:rsidP="0033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/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№3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56649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965C1A" w:rsidRPr="00C15404" w:rsidRDefault="0056649B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/>
          </w:tcPr>
          <w:p w:rsidR="00965C1A" w:rsidRPr="00C15404" w:rsidRDefault="00965C1A" w:rsidP="00965C1A">
            <w:pPr>
              <w:rPr>
                <w:rFonts w:cs="Times New Roman"/>
              </w:rPr>
            </w:pPr>
          </w:p>
        </w:tc>
      </w:tr>
    </w:tbl>
    <w:p w:rsidR="0026715B" w:rsidRPr="00C15404" w:rsidRDefault="0026715B" w:rsidP="0026715B">
      <w:pPr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C15404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6C6AD3" w:rsidRPr="00C15404">
              <w:rPr>
                <w:rFonts w:ascii="Times New Roman" w:hAnsi="Times New Roman" w:cs="Times New Roman"/>
                <w:sz w:val="20"/>
              </w:rPr>
              <w:t>долга по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310,0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r w:rsidR="00A65557"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городского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  <w:lang w:val="en-US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№4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к муниципальной программе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городского округа Электросталь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1 744 587,8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359 193,7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352 862,6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1 744 587,8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359 193,7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352 862,6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/>
          </w:tcPr>
          <w:p w:rsidR="00832735" w:rsidRPr="00C15404" w:rsidRDefault="00832735" w:rsidP="00832735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1 564 475,7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322 119,4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1 564 475,7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322 119,4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966C7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</w:t>
            </w:r>
            <w:r w:rsidR="00254926" w:rsidRPr="00C15404">
              <w:rPr>
                <w:sz w:val="22"/>
                <w:szCs w:val="22"/>
              </w:rPr>
              <w:t> 192,0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</w:t>
            </w:r>
            <w:r w:rsidR="00254926" w:rsidRPr="00C15404">
              <w:rPr>
                <w:sz w:val="22"/>
                <w:szCs w:val="22"/>
              </w:rPr>
              <w:t> 527,5</w:t>
            </w:r>
          </w:p>
        </w:tc>
        <w:tc>
          <w:tcPr>
            <w:tcW w:w="1275" w:type="dxa"/>
            <w:vAlign w:val="center"/>
          </w:tcPr>
          <w:p w:rsidR="0026715B" w:rsidRPr="00C15404" w:rsidRDefault="00966C7C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254926" w:rsidRPr="00C15404">
              <w:rPr>
                <w:sz w:val="22"/>
                <w:szCs w:val="22"/>
              </w:rPr>
              <w:t>3 567,1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966C7C" w:rsidRPr="00C15404" w:rsidRDefault="00966C7C" w:rsidP="00966C7C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66C7C" w:rsidRPr="00C15404" w:rsidRDefault="00966C7C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12 527,5</w:t>
            </w:r>
          </w:p>
        </w:tc>
        <w:tc>
          <w:tcPr>
            <w:tcW w:w="1275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13 567,1</w:t>
            </w:r>
          </w:p>
        </w:tc>
        <w:tc>
          <w:tcPr>
            <w:tcW w:w="3204" w:type="dxa"/>
            <w:vMerge/>
          </w:tcPr>
          <w:p w:rsidR="00966C7C" w:rsidRPr="00C15404" w:rsidRDefault="00966C7C" w:rsidP="00966C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54926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4926" w:rsidRPr="00C15404" w:rsidRDefault="00254926" w:rsidP="0025492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>
        <w:rPr>
          <w:rFonts w:cs="Times New Roman"/>
        </w:rPr>
        <w:t xml:space="preserve"> </w:t>
      </w:r>
      <w:r w:rsidRPr="00C15404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C15404" w:rsidRDefault="0026715B" w:rsidP="0026715B">
      <w:pPr>
        <w:pStyle w:val="ConsPlusNormal"/>
        <w:ind w:firstLine="540"/>
        <w:jc w:val="both"/>
      </w:pPr>
      <w:r w:rsidRPr="00C15404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C15404">
        <w:t>.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26715B" w:rsidRPr="00C15404" w:rsidRDefault="004A5DC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1 744 587,8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359 193,7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1 744 587,8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359 193,7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F6523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996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F65230" w:rsidRPr="00C15404" w:rsidRDefault="00F65230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6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2269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722 515,6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148 517,5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722 515,6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148 517,5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rPr>
          <w:trHeight w:val="967"/>
        </w:trPr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C15404" w:rsidRDefault="00912BD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</w:t>
            </w:r>
            <w:r w:rsidR="00F65230" w:rsidRPr="00C15404"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</w:t>
            </w:r>
            <w:r w:rsidR="00F65230" w:rsidRPr="00C15404">
              <w:rPr>
                <w:sz w:val="20"/>
                <w:szCs w:val="20"/>
              </w:rPr>
              <w:t> 527,5</w:t>
            </w:r>
          </w:p>
        </w:tc>
        <w:tc>
          <w:tcPr>
            <w:tcW w:w="993" w:type="dxa"/>
          </w:tcPr>
          <w:p w:rsidR="0026715B" w:rsidRPr="00C15404" w:rsidRDefault="00912BDD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912BDD" w:rsidRPr="00C15404" w:rsidRDefault="00912BDD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11 192,0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12 527,5</w:t>
            </w:r>
          </w:p>
        </w:tc>
        <w:tc>
          <w:tcPr>
            <w:tcW w:w="993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BE4FB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119 918,7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</w:t>
            </w:r>
            <w:r w:rsidR="00014BF3" w:rsidRPr="00C15404">
              <w:rPr>
                <w:rFonts w:cs="Times New Roman"/>
                <w:sz w:val="20"/>
              </w:rPr>
              <w:t>1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D0712">
        <w:tc>
          <w:tcPr>
            <w:tcW w:w="563" w:type="dxa"/>
            <w:vMerge w:val="restart"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014BF3" w:rsidRPr="00C15404" w:rsidRDefault="00014BF3" w:rsidP="00014BF3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Муниципальное казенное учреждение «Централизованна</w:t>
            </w:r>
            <w:r w:rsidRPr="00C15404">
              <w:rPr>
                <w:rFonts w:cs="Times New Roman"/>
                <w:sz w:val="20"/>
              </w:rPr>
              <w:lastRenderedPageBreak/>
              <w:t>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014BF3" w:rsidRPr="00C15404" w:rsidRDefault="00014BF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lastRenderedPageBreak/>
              <w:t>2022-2024</w:t>
            </w: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«Централизованная бухгалтерия муниципальных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МКУ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2D0712">
        <w:tc>
          <w:tcPr>
            <w:tcW w:w="563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014BF3" w:rsidRPr="00C15404" w:rsidRDefault="00014BF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rPr>
          <w:trHeight w:val="20"/>
        </w:trPr>
        <w:tc>
          <w:tcPr>
            <w:tcW w:w="563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AC7124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c>
          <w:tcPr>
            <w:tcW w:w="563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Муниципальное казенное учреждение «Управление обеспечения деятельности органов местного самоуправления городского округа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области»</w:t>
            </w:r>
          </w:p>
        </w:tc>
        <w:tc>
          <w:tcPr>
            <w:tcW w:w="1267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361 161,3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69 861,6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74 734,94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73 013,9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71 266,3</w:t>
            </w:r>
          </w:p>
        </w:tc>
        <w:tc>
          <w:tcPr>
            <w:tcW w:w="2269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«Управление обеспечения деятельности органов местного самоуправления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1.6.2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74 411,5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563,6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434,0</w:t>
            </w:r>
          </w:p>
        </w:tc>
        <w:tc>
          <w:tcPr>
            <w:tcW w:w="993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307,0</w:t>
            </w:r>
          </w:p>
        </w:tc>
        <w:tc>
          <w:tcPr>
            <w:tcW w:w="996" w:type="dxa"/>
          </w:tcPr>
          <w:p w:rsidR="0026715B" w:rsidRPr="00C15404" w:rsidRDefault="00725C46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674,0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городского округа Электросталь Московской области «Управление по конкурентной политике и координации закупок»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54 411,3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9 742,2</w:t>
            </w:r>
          </w:p>
        </w:tc>
        <w:tc>
          <w:tcPr>
            <w:tcW w:w="992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12 047,9</w:t>
            </w:r>
          </w:p>
        </w:tc>
        <w:tc>
          <w:tcPr>
            <w:tcW w:w="993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11 088,5</w:t>
            </w:r>
          </w:p>
        </w:tc>
        <w:tc>
          <w:tcPr>
            <w:tcW w:w="996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10 838,3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01.08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A7529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финансирования мероприятий по мобилизационной подготовке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7529D" w:rsidRPr="00C15404" w:rsidRDefault="00A7529D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  <w:r w:rsidR="00165834" w:rsidRPr="00C15404">
              <w:rPr>
                <w:rFonts w:ascii="Times New Roman" w:hAnsi="Times New Roman" w:cs="Times New Roman"/>
                <w:sz w:val="20"/>
              </w:rPr>
              <w:t> 260,7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165834" w:rsidRPr="00C15404" w:rsidRDefault="00165834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1 260,7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 xml:space="preserve">Принятие устава муниципального образования и внесение в него изменений и дополнений, издание </w:t>
            </w:r>
            <w:r w:rsidRPr="00C15404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правовых актов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1 744 587,8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359 193,7</w:t>
            </w:r>
          </w:p>
        </w:tc>
        <w:tc>
          <w:tcPr>
            <w:tcW w:w="993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02E80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359 193,7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352 862,6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ind w:right="25"/>
        <w:jc w:val="right"/>
      </w:pPr>
      <w:r w:rsidRPr="00C15404">
        <w:t>».</w:t>
      </w:r>
    </w:p>
    <w:sectPr w:rsidR="0026715B" w:rsidRPr="00C15404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AF" w:rsidRDefault="00DD17AF" w:rsidP="00AD249F">
      <w:r>
        <w:separator/>
      </w:r>
    </w:p>
  </w:endnote>
  <w:endnote w:type="continuationSeparator" w:id="0">
    <w:p w:rsidR="00DD17AF" w:rsidRDefault="00DD17AF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AF" w:rsidRDefault="00DD17AF" w:rsidP="00AD249F">
      <w:r>
        <w:separator/>
      </w:r>
    </w:p>
  </w:footnote>
  <w:footnote w:type="continuationSeparator" w:id="0">
    <w:p w:rsidR="00DD17AF" w:rsidRDefault="00DD17AF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CB0560" w:rsidRDefault="00CB0560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1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560" w:rsidRDefault="00CB056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60" w:rsidRDefault="00CB0560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07463">
      <w:rPr>
        <w:noProof/>
      </w:rPr>
      <w:t>21</w:t>
    </w:r>
    <w:r>
      <w:rPr>
        <w:noProof/>
      </w:rPr>
      <w:fldChar w:fldCharType="end"/>
    </w:r>
  </w:p>
  <w:p w:rsidR="00CB0560" w:rsidRDefault="00CB05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6D9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D48C1"/>
    <w:rsid w:val="000D4C27"/>
    <w:rsid w:val="000E0A04"/>
    <w:rsid w:val="000E21E7"/>
    <w:rsid w:val="000E6403"/>
    <w:rsid w:val="000E6AC4"/>
    <w:rsid w:val="000E6D43"/>
    <w:rsid w:val="000F14A1"/>
    <w:rsid w:val="000F4FA3"/>
    <w:rsid w:val="000F5E7D"/>
    <w:rsid w:val="000F7282"/>
    <w:rsid w:val="0010066D"/>
    <w:rsid w:val="00103CE3"/>
    <w:rsid w:val="00105B1B"/>
    <w:rsid w:val="001065DC"/>
    <w:rsid w:val="00111E1D"/>
    <w:rsid w:val="00112933"/>
    <w:rsid w:val="001148D1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5834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194E"/>
    <w:rsid w:val="001F2274"/>
    <w:rsid w:val="001F697C"/>
    <w:rsid w:val="00201D4A"/>
    <w:rsid w:val="00201D63"/>
    <w:rsid w:val="00202604"/>
    <w:rsid w:val="00202C40"/>
    <w:rsid w:val="00202E8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6106F"/>
    <w:rsid w:val="00261CD1"/>
    <w:rsid w:val="00263937"/>
    <w:rsid w:val="00265840"/>
    <w:rsid w:val="0026715B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F31D4"/>
    <w:rsid w:val="003F3A64"/>
    <w:rsid w:val="003F3E60"/>
    <w:rsid w:val="003F4BEB"/>
    <w:rsid w:val="003F52E0"/>
    <w:rsid w:val="003F690E"/>
    <w:rsid w:val="003F781F"/>
    <w:rsid w:val="0040075C"/>
    <w:rsid w:val="0040220C"/>
    <w:rsid w:val="00403261"/>
    <w:rsid w:val="004041E3"/>
    <w:rsid w:val="00406A72"/>
    <w:rsid w:val="00406D52"/>
    <w:rsid w:val="0041015C"/>
    <w:rsid w:val="0041026B"/>
    <w:rsid w:val="00410FCC"/>
    <w:rsid w:val="00412BDB"/>
    <w:rsid w:val="004143B2"/>
    <w:rsid w:val="00415305"/>
    <w:rsid w:val="0042377F"/>
    <w:rsid w:val="00423A5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F49"/>
    <w:rsid w:val="004D3D2C"/>
    <w:rsid w:val="004D64AC"/>
    <w:rsid w:val="004D7673"/>
    <w:rsid w:val="004E1A42"/>
    <w:rsid w:val="004E1C5B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6649B"/>
    <w:rsid w:val="005730DA"/>
    <w:rsid w:val="005744D7"/>
    <w:rsid w:val="005759A2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4734"/>
    <w:rsid w:val="0067765C"/>
    <w:rsid w:val="006777FC"/>
    <w:rsid w:val="00683E9E"/>
    <w:rsid w:val="0068439A"/>
    <w:rsid w:val="006847B7"/>
    <w:rsid w:val="006858F3"/>
    <w:rsid w:val="00691A77"/>
    <w:rsid w:val="0069304B"/>
    <w:rsid w:val="006A045E"/>
    <w:rsid w:val="006A1EA9"/>
    <w:rsid w:val="006A32AF"/>
    <w:rsid w:val="006A6E9F"/>
    <w:rsid w:val="006B10F0"/>
    <w:rsid w:val="006B5509"/>
    <w:rsid w:val="006C06A4"/>
    <w:rsid w:val="006C19CB"/>
    <w:rsid w:val="006C2F60"/>
    <w:rsid w:val="006C3D43"/>
    <w:rsid w:val="006C6AD3"/>
    <w:rsid w:val="006D3D82"/>
    <w:rsid w:val="006D60D0"/>
    <w:rsid w:val="006D68FE"/>
    <w:rsid w:val="006D7969"/>
    <w:rsid w:val="006D7E3B"/>
    <w:rsid w:val="006E0D57"/>
    <w:rsid w:val="006E1CA5"/>
    <w:rsid w:val="006E4FDD"/>
    <w:rsid w:val="006E7097"/>
    <w:rsid w:val="006F1354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25C46"/>
    <w:rsid w:val="0073090C"/>
    <w:rsid w:val="00730B3F"/>
    <w:rsid w:val="00732B7E"/>
    <w:rsid w:val="00733153"/>
    <w:rsid w:val="0073401F"/>
    <w:rsid w:val="007402CE"/>
    <w:rsid w:val="007463BB"/>
    <w:rsid w:val="00756A1F"/>
    <w:rsid w:val="007612B4"/>
    <w:rsid w:val="00761D27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96395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4DC7"/>
    <w:rsid w:val="007D50FD"/>
    <w:rsid w:val="007D7A80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2601B"/>
    <w:rsid w:val="0083117A"/>
    <w:rsid w:val="00832735"/>
    <w:rsid w:val="00832B96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038C"/>
    <w:rsid w:val="008627DC"/>
    <w:rsid w:val="00863BB4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E032C"/>
    <w:rsid w:val="008E0977"/>
    <w:rsid w:val="008E2300"/>
    <w:rsid w:val="008E4C8C"/>
    <w:rsid w:val="008E6711"/>
    <w:rsid w:val="008F33E7"/>
    <w:rsid w:val="008F424E"/>
    <w:rsid w:val="008F4ABD"/>
    <w:rsid w:val="009007C8"/>
    <w:rsid w:val="00902F5C"/>
    <w:rsid w:val="0090423C"/>
    <w:rsid w:val="00904F7F"/>
    <w:rsid w:val="00907463"/>
    <w:rsid w:val="00912BDD"/>
    <w:rsid w:val="00931221"/>
    <w:rsid w:val="0093123F"/>
    <w:rsid w:val="00934C01"/>
    <w:rsid w:val="00941156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B4E59"/>
    <w:rsid w:val="009C008A"/>
    <w:rsid w:val="009C2383"/>
    <w:rsid w:val="009C4F65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221"/>
    <w:rsid w:val="009F1D8C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5501"/>
    <w:rsid w:val="00A572A3"/>
    <w:rsid w:val="00A6209D"/>
    <w:rsid w:val="00A62B47"/>
    <w:rsid w:val="00A64972"/>
    <w:rsid w:val="00A65557"/>
    <w:rsid w:val="00A70C2B"/>
    <w:rsid w:val="00A7529D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1D61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5378"/>
    <w:rsid w:val="00BC651F"/>
    <w:rsid w:val="00BC7A25"/>
    <w:rsid w:val="00BD6572"/>
    <w:rsid w:val="00BD66E7"/>
    <w:rsid w:val="00BE03AE"/>
    <w:rsid w:val="00BE4FB0"/>
    <w:rsid w:val="00BE5B11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5404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304C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5A26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D0529"/>
    <w:rsid w:val="00CD43F6"/>
    <w:rsid w:val="00CD55FD"/>
    <w:rsid w:val="00CD6A24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2765E"/>
    <w:rsid w:val="00D3062D"/>
    <w:rsid w:val="00D3577D"/>
    <w:rsid w:val="00D416B9"/>
    <w:rsid w:val="00D42407"/>
    <w:rsid w:val="00D51B89"/>
    <w:rsid w:val="00D53FA8"/>
    <w:rsid w:val="00D55440"/>
    <w:rsid w:val="00D61F9F"/>
    <w:rsid w:val="00D7022C"/>
    <w:rsid w:val="00D75638"/>
    <w:rsid w:val="00D765A1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1FB4"/>
    <w:rsid w:val="00DB248E"/>
    <w:rsid w:val="00DB3488"/>
    <w:rsid w:val="00DB4D96"/>
    <w:rsid w:val="00DB4FF6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41783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55C3"/>
    <w:rsid w:val="00EF0B6D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65230"/>
    <w:rsid w:val="00F67BE7"/>
    <w:rsid w:val="00F71118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107A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96C1-F9C4-4A16-82A8-9B46AF93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70</Pages>
  <Words>13007</Words>
  <Characters>97036</Characters>
  <Application>Microsoft Office Word</Application>
  <DocSecurity>0</DocSecurity>
  <Lines>808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4</cp:revision>
  <cp:lastPrinted>2022-02-08T09:07:00Z</cp:lastPrinted>
  <dcterms:created xsi:type="dcterms:W3CDTF">2022-02-17T09:43:00Z</dcterms:created>
  <dcterms:modified xsi:type="dcterms:W3CDTF">2022-02-17T14:19:00Z</dcterms:modified>
</cp:coreProperties>
</file>