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50112555" w:rsidR="00C56EB0" w:rsidRPr="00171438" w:rsidRDefault="00C1286B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28335BDF" w:rsidR="00C56EB0" w:rsidRPr="001B199B" w:rsidRDefault="00BB577A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C1286B" w:rsidRPr="00C1286B">
              <w:rPr>
                <w:rFonts w:eastAsia="Calibri"/>
              </w:rPr>
              <w:t>збирательное объединение Региональное отделение Политической партии СПРАВЕДЛИВАЯ РОССИЯ в Московской области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3B59B871" w:rsidR="00C56EB0" w:rsidRPr="00C02EFB" w:rsidRDefault="00C1286B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86B">
              <w:rPr>
                <w:rFonts w:eastAsia="Calibri"/>
                <w:b/>
                <w:sz w:val="20"/>
                <w:szCs w:val="20"/>
                <w:lang w:eastAsia="en-US"/>
              </w:rPr>
              <w:t>40704810340000000338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Строка финансового </w:t>
            </w:r>
            <w:proofErr w:type="spellStart"/>
            <w:r w:rsidRPr="00171438">
              <w:rPr>
                <w:snapToGrid w:val="0"/>
              </w:rPr>
              <w:t>отчета</w:t>
            </w:r>
            <w:proofErr w:type="spellEnd"/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6439D169" w:rsidR="00C56EB0" w:rsidRPr="00C02EFB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6 341 431,00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517EC86C" w:rsidR="00C56EB0" w:rsidRPr="00C02EFB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6 341 430,00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39BF7831" w:rsidR="00C56EB0" w:rsidRPr="00171438" w:rsidRDefault="006822FA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6822FA">
              <w:rPr>
                <w:b/>
                <w:snapToGrid w:val="0"/>
              </w:rPr>
              <w:t>41 430,00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65837AAF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6 3</w:t>
            </w:r>
            <w:r w:rsidR="006822FA">
              <w:rPr>
                <w:b/>
                <w:snapToGrid w:val="0"/>
              </w:rPr>
              <w:t>0</w:t>
            </w:r>
            <w:r>
              <w:rPr>
                <w:b/>
                <w:snapToGrid w:val="0"/>
              </w:rPr>
              <w:t>1 </w:t>
            </w:r>
            <w:r w:rsidR="006822FA">
              <w:rPr>
                <w:b/>
                <w:snapToGrid w:val="0"/>
              </w:rPr>
              <w:t>00</w:t>
            </w: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0516174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44E6486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5E342551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6A8CF54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Гражданам, которым запрещено осуществлять пожертвования либо не указавшим обязательные сведения в </w:t>
            </w:r>
            <w:proofErr w:type="spellStart"/>
            <w:r w:rsidRPr="00171438">
              <w:rPr>
                <w:snapToGrid w:val="0"/>
              </w:rPr>
              <w:t>платежном</w:t>
            </w:r>
            <w:proofErr w:type="spellEnd"/>
            <w:r w:rsidRPr="00171438">
              <w:rPr>
                <w:snapToGrid w:val="0"/>
              </w:rPr>
              <w:t xml:space="preserve">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Юридическим лицам, которым запрещено осуществлять пожертвования либо не указавшим обязательные сведения в </w:t>
            </w:r>
            <w:proofErr w:type="spellStart"/>
            <w:r w:rsidRPr="00171438">
              <w:rPr>
                <w:snapToGrid w:val="0"/>
              </w:rPr>
              <w:t>платежном</w:t>
            </w:r>
            <w:proofErr w:type="spellEnd"/>
            <w:r w:rsidRPr="00171438">
              <w:rPr>
                <w:snapToGrid w:val="0"/>
              </w:rPr>
              <w:t xml:space="preserve">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074E1053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C1286B">
              <w:rPr>
                <w:b/>
                <w:snapToGrid w:val="0"/>
              </w:rPr>
              <w:t>6 341 430,00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6CB133C6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341 430,00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556DEF32" w:rsidR="00C56EB0" w:rsidRPr="00171438" w:rsidRDefault="00C1286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6 000 000,00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</w:t>
            </w:r>
            <w:proofErr w:type="spellStart"/>
            <w:r w:rsidRPr="00171438">
              <w:rPr>
                <w:b/>
                <w:snapToGrid w:val="0"/>
              </w:rPr>
              <w:t>отчета</w:t>
            </w:r>
            <w:proofErr w:type="spellEnd"/>
            <w:r w:rsidRPr="00171438">
              <w:rPr>
                <w:b/>
                <w:snapToGrid w:val="0"/>
              </w:rPr>
              <w:t xml:space="preserve">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proofErr w:type="gramEnd"/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757E2C33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047294F8" w14:textId="3AC9AC0F" w:rsidR="00C1286B" w:rsidRDefault="00C1286B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65DA9D9A" w14:textId="77777777" w:rsidR="00C1286B" w:rsidRDefault="00C1286B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</w:t>
      </w:r>
      <w:proofErr w:type="spellStart"/>
      <w:r w:rsidRPr="00171438">
        <w:rPr>
          <w:lang w:val="x-none" w:eastAsia="x-none"/>
        </w:rPr>
        <w:t>отчете</w:t>
      </w:r>
      <w:proofErr w:type="spellEnd"/>
      <w:r w:rsidRPr="00171438">
        <w:rPr>
          <w:lang w:val="x-none" w:eastAsia="x-none"/>
        </w:rPr>
        <w:t xml:space="preserve">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proofErr w:type="gramStart"/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proofErr w:type="gramEnd"/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 xml:space="preserve">*Заполняется только в итоговом финансовом </w:t>
            </w:r>
            <w:proofErr w:type="spellStart"/>
            <w:r w:rsidRPr="00171438">
              <w:rPr>
                <w:sz w:val="20"/>
                <w:szCs w:val="20"/>
              </w:rPr>
              <w:t>отчете</w:t>
            </w:r>
            <w:proofErr w:type="spellEnd"/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Для итогового финансового </w:t>
            </w:r>
            <w:proofErr w:type="spellStart"/>
            <w:r>
              <w:rPr>
                <w:sz w:val="20"/>
                <w:szCs w:val="20"/>
              </w:rPr>
              <w:t>отчета</w:t>
            </w:r>
            <w:proofErr w:type="spellEnd"/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0"/>
    <w:rsid w:val="001B199B"/>
    <w:rsid w:val="002857D5"/>
    <w:rsid w:val="0036742E"/>
    <w:rsid w:val="00376E39"/>
    <w:rsid w:val="0043778B"/>
    <w:rsid w:val="00666C0E"/>
    <w:rsid w:val="006822FA"/>
    <w:rsid w:val="007750D7"/>
    <w:rsid w:val="00877436"/>
    <w:rsid w:val="00B10562"/>
    <w:rsid w:val="00BB577A"/>
    <w:rsid w:val="00BB68FD"/>
    <w:rsid w:val="00C02EFB"/>
    <w:rsid w:val="00C1286B"/>
    <w:rsid w:val="00C56EB0"/>
    <w:rsid w:val="00EE36E1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Юлия Емелина</cp:lastModifiedBy>
  <cp:revision>2</cp:revision>
  <dcterms:created xsi:type="dcterms:W3CDTF">2020-10-23T10:12:00Z</dcterms:created>
  <dcterms:modified xsi:type="dcterms:W3CDTF">2020-10-23T10:12:00Z</dcterms:modified>
</cp:coreProperties>
</file>