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B22A" w14:textId="348E6EAE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BC3609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BC3609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BC3609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BC3609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09FEAD83" w:rsidR="00230D3A" w:rsidRPr="00BC3609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</w:t>
      </w:r>
      <w:r w:rsidR="0002665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03.04.2024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02665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270/4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14:paraId="55DB203F" w14:textId="77777777" w:rsidR="00AC389E" w:rsidRPr="00BC3609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BC3609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BC3609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BC3609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BC360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7028753D" w:rsidR="00180FC5" w:rsidRPr="00BC3609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8F287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BC3609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BC3609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BC3609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BC3609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BC3609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7777777" w:rsidR="0096501E" w:rsidRPr="00BC3609" w:rsidRDefault="00027BC2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Печниковой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О.В., Гришаеву А.А., Чайковскому А.В., Бобкову С.А.,                Митькиной Е.И., Булановой Л.В., Никитиной Е.В., Журавлеву М.А.,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Филиппенко С.А.,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Диникину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Д.Ф., Земцову О.А.,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Конченко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С.Ю., Мурашову А.С., КИО, МКУ «УОД ОМСУ </w:t>
      </w:r>
      <w:proofErr w:type="spellStart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г.о</w:t>
      </w:r>
      <w:proofErr w:type="spellEnd"/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. Электросталь», МКУ «СБДХ», Елихину О.Н., Александровой В.А., в прокуратуру, ООО «ЭЛКОД», в регистр муниципальных нормативных правовых актов, в дело.</w:t>
      </w:r>
    </w:p>
    <w:p w14:paraId="11CF50DB" w14:textId="77777777" w:rsidR="00D84714" w:rsidRPr="00BC3609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C3609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14:paraId="74E95A6C" w14:textId="77777777" w:rsidR="00DD3CE7" w:rsidRPr="00BC3609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4C3073DE" w:rsidR="00DD3CE7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026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03.04.2024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</w:t>
      </w:r>
      <w:r w:rsidR="000266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270/4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3F64096" w14:textId="77777777" w:rsidR="00027BC2" w:rsidRPr="00BC3609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BC3609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BC3609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BC3609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BC3609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BC3609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BC3609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BC3609">
        <w:t xml:space="preserve"> </w:t>
      </w:r>
      <w:r w:rsidR="00027BC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3AFA6B48" w:rsidR="0052719B" w:rsidRPr="00BC3609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96501E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BC3609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BC3609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BC3609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BC3609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BC360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BC3609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BC3609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BC3609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C3609" w:rsidRPr="00BC3609" w14:paraId="78C9A64C" w14:textId="77777777" w:rsidTr="00B63BFC">
        <w:tc>
          <w:tcPr>
            <w:tcW w:w="5240" w:type="dxa"/>
          </w:tcPr>
          <w:p w14:paraId="2C93C15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BC3609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C3609" w:rsidRPr="00BC3609" w14:paraId="47BBE08D" w14:textId="77777777" w:rsidTr="00B63BFC">
        <w:tc>
          <w:tcPr>
            <w:tcW w:w="5240" w:type="dxa"/>
          </w:tcPr>
          <w:p w14:paraId="6AFDB63B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BC3609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3609" w:rsidRPr="00BC3609" w14:paraId="55580BDA" w14:textId="77777777" w:rsidTr="00B63BFC">
        <w:tc>
          <w:tcPr>
            <w:tcW w:w="5240" w:type="dxa"/>
          </w:tcPr>
          <w:p w14:paraId="0DA26448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BC3609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609" w:rsidRPr="00BC3609" w14:paraId="1CF33FCF" w14:textId="77777777" w:rsidTr="00B63BFC">
        <w:tc>
          <w:tcPr>
            <w:tcW w:w="5240" w:type="dxa"/>
          </w:tcPr>
          <w:p w14:paraId="2DCB912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C3609" w:rsidRPr="00BC3609" w14:paraId="3CC189F7" w14:textId="77777777" w:rsidTr="00B63BFC">
        <w:tc>
          <w:tcPr>
            <w:tcW w:w="5240" w:type="dxa"/>
          </w:tcPr>
          <w:p w14:paraId="3AE3AB43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1846EC45" w14:textId="77777777" w:rsidTr="00B63BFC">
        <w:tc>
          <w:tcPr>
            <w:tcW w:w="5240" w:type="dxa"/>
          </w:tcPr>
          <w:p w14:paraId="67D69827" w14:textId="43B31C3D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BC3609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2D75331C" w14:textId="77777777" w:rsidTr="00B63BFC">
        <w:tc>
          <w:tcPr>
            <w:tcW w:w="5240" w:type="dxa"/>
          </w:tcPr>
          <w:p w14:paraId="73E2D59A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BC3609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C3609" w:rsidRPr="00BC3609" w14:paraId="492CB016" w14:textId="77777777" w:rsidTr="00B63BFC">
        <w:tc>
          <w:tcPr>
            <w:tcW w:w="5240" w:type="dxa"/>
          </w:tcPr>
          <w:p w14:paraId="04368CF2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C3609" w:rsidRPr="00BC3609" w14:paraId="3F980707" w14:textId="77777777" w:rsidTr="00B63BFC">
        <w:tc>
          <w:tcPr>
            <w:tcW w:w="5240" w:type="dxa"/>
          </w:tcPr>
          <w:p w14:paraId="526C123C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09" w:rsidRPr="00BC3609" w14:paraId="09E332A3" w14:textId="77777777" w:rsidTr="00B63BFC">
        <w:tc>
          <w:tcPr>
            <w:tcW w:w="5240" w:type="dxa"/>
          </w:tcPr>
          <w:p w14:paraId="465272E1" w14:textId="77777777" w:rsidR="00081E2E" w:rsidRPr="00BC3609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BC3609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C3609" w:rsidRPr="00BC3609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BC3609" w:rsidRPr="00BC3609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C3609" w:rsidRPr="00BC3609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C3609" w:rsidRPr="00BC3609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C3609" w:rsidRPr="00BC3609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BC3609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C3609" w:rsidRPr="00BC3609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BC3609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C36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C3609" w:rsidRPr="00BC3609" w14:paraId="0271019F" w14:textId="77777777" w:rsidTr="005271A7">
        <w:tc>
          <w:tcPr>
            <w:tcW w:w="5240" w:type="dxa"/>
          </w:tcPr>
          <w:p w14:paraId="21F18289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BC3609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BC3609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C3609" w:rsidRPr="00BC3609" w14:paraId="72398E4D" w14:textId="77777777" w:rsidTr="005271A7">
        <w:tc>
          <w:tcPr>
            <w:tcW w:w="5240" w:type="dxa"/>
          </w:tcPr>
          <w:p w14:paraId="4457E3A3" w14:textId="0F4AA11B" w:rsidR="00C12DA5" w:rsidRPr="00BC3609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26446AF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634325,16</w:t>
            </w:r>
          </w:p>
        </w:tc>
        <w:tc>
          <w:tcPr>
            <w:tcW w:w="1559" w:type="dxa"/>
          </w:tcPr>
          <w:p w14:paraId="6AA791A5" w14:textId="7D45461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1D0AE94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179325,04</w:t>
            </w:r>
          </w:p>
        </w:tc>
        <w:tc>
          <w:tcPr>
            <w:tcW w:w="1559" w:type="dxa"/>
          </w:tcPr>
          <w:p w14:paraId="307470FB" w14:textId="7626897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BC3609" w:rsidRPr="00BC3609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BC3609" w:rsidRPr="00BC3609" w14:paraId="1DBEC45B" w14:textId="77777777" w:rsidTr="005271A7">
        <w:tc>
          <w:tcPr>
            <w:tcW w:w="5240" w:type="dxa"/>
          </w:tcPr>
          <w:p w14:paraId="64EF6DA5" w14:textId="16A55690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C3609" w:rsidRPr="00BC3609" w14:paraId="180F41A5" w14:textId="77777777" w:rsidTr="005271A7">
        <w:tc>
          <w:tcPr>
            <w:tcW w:w="5240" w:type="dxa"/>
          </w:tcPr>
          <w:p w14:paraId="3A7F8896" w14:textId="422BDFE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BC3609" w:rsidRPr="00BC3609" w14:paraId="45417400" w14:textId="77777777" w:rsidTr="0053736C">
        <w:tc>
          <w:tcPr>
            <w:tcW w:w="5240" w:type="dxa"/>
          </w:tcPr>
          <w:p w14:paraId="1C5625D8" w14:textId="5BBA4A74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3953EFA3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647345,69</w:t>
            </w:r>
          </w:p>
        </w:tc>
        <w:tc>
          <w:tcPr>
            <w:tcW w:w="1559" w:type="dxa"/>
          </w:tcPr>
          <w:p w14:paraId="641D09F1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06396961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182094,04</w:t>
            </w:r>
          </w:p>
        </w:tc>
        <w:tc>
          <w:tcPr>
            <w:tcW w:w="1559" w:type="dxa"/>
          </w:tcPr>
          <w:p w14:paraId="0A97D5E6" w14:textId="193D55CC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BC3609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BC3609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C3609" w:rsidSect="00D23F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BC3609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BC3609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BC3609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C3609">
        <w:t xml:space="preserve"> </w:t>
      </w:r>
      <w:r w:rsidRPr="00BC3609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BC3609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C3609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и </w:t>
      </w:r>
      <w:r w:rsidRPr="00BC3609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C3609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C3609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C3609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BC3609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BC3609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BC3609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BC3609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BC3609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BC3609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C360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BC3609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BC3609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BC3609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C3609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BC3609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C3609" w:rsidRPr="00BC3609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C3609" w:rsidRPr="00BC3609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C3609" w:rsidRPr="00BC3609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C3609" w:rsidRPr="00BC3609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BC3609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C3609" w:rsidRPr="00BC3609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BC3609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BC3609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BC3609" w:rsidRPr="00BC3609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BC3609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BC3609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BC3609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BC3609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C3609" w:rsidRPr="00BC3609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BC3609" w:rsidRPr="00BC3609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BC3609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BC3609" w:rsidRDefault="001E057B" w:rsidP="001E057B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BC3609" w:rsidRPr="00BC3609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BC3609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C3609" w:rsidRPr="00BC3609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BC3609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BC3609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BC3609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BC3609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BC3609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BC3609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BC3609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BC3609" w:rsidRDefault="00C43401" w:rsidP="00CD0134">
            <w:pPr>
              <w:spacing w:after="0" w:line="240" w:lineRule="auto"/>
              <w:jc w:val="center"/>
            </w:pPr>
          </w:p>
        </w:tc>
      </w:tr>
      <w:tr w:rsidR="00BC3609" w:rsidRPr="00BC3609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BC3609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BC3609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BC3609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BC3609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BC3609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BC3609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BC3609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BC3609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C3609" w:rsidRPr="00BC3609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BC3609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BC3609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BC3609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BC3609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BC3609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C3609" w:rsidRPr="00BC3609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BC3609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BC3609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BC3609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BC3609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BC3609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BC3609" w:rsidRPr="00BC3609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BC3609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BC3609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BC3609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BC3609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BC3609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BC3609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BC3609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C3609" w:rsidRPr="00BC3609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BC3609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BC3609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BC3609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BC3609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BC3609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BC3609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BC3609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BC3609" w:rsidRPr="00BC3609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BC3609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BC3609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BC3609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BC3609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BC3609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BC3609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C3609" w:rsidRPr="00BC3609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BC3609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BC3609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BC3609" w:rsidRDefault="00C43401" w:rsidP="00C43401">
            <w:pPr>
              <w:jc w:val="center"/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BC3609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BC3609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BC3609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C3609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BC3609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C360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C3609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C3609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C3609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C3609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BC3609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BC3609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BC3609" w:rsidRPr="00BC3609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C3609" w:rsidRPr="00BC3609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BC3609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BC3609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технической  укрепленности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C3609" w:rsidRPr="00BC3609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BC3609" w:rsidRPr="00BC3609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BC3609" w:rsidRPr="00BC3609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BC3609" w:rsidRPr="00BC3609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BC3609" w:rsidRPr="00BC3609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BC3609" w:rsidRPr="00BC3609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C3609" w:rsidRPr="00BC3609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BC3609" w:rsidRPr="00BC3609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BC3609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BC3609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04. 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1203E566" w:rsidR="001E057B" w:rsidRPr="00BC3609" w:rsidRDefault="0082498C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3ABCA8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BC3609" w:rsidRPr="00BC3609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C678888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16FCA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BC3609" w:rsidRPr="00BC3609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BC3609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BC3609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23F5CDC5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2DEBDC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6C7D3153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BC3609" w:rsidRPr="00BC3609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56D0F04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466000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90CD0E2" w:rsidR="001E057B" w:rsidRPr="00BC3609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CCB1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994" w:type="dxa"/>
          </w:tcPr>
          <w:p w14:paraId="26929B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458699BD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3B91612B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E42AF56" w14:textId="430AD737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14:paraId="4F4D38DA" w14:textId="33D56AF0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BC3609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C3609" w:rsidRPr="00BC3609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BC3609" w:rsidRPr="00BC3609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BC3609" w:rsidRPr="00BC3609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C3609" w:rsidRPr="00BC3609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C3609" w:rsidRPr="00BC3609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месяце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месяце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BC3609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BC3609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BC3609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BC3609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BC3609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BC3609" w:rsidRPr="00BC3609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работы, с мест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области»</w:t>
            </w:r>
          </w:p>
        </w:tc>
      </w:tr>
      <w:tr w:rsidR="00BC3609" w:rsidRPr="00BC3609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BC3609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BC3609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78DF3A6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7EF79F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8113B5B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2C0603BA" w:rsidR="001E057B" w:rsidRPr="00BC3609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47C2007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2F4DAFD4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BC3609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BC3609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BC36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BC3609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C3609" w:rsidRPr="00BC3609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B3886F0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288981,49</w:t>
            </w:r>
          </w:p>
        </w:tc>
        <w:tc>
          <w:tcPr>
            <w:tcW w:w="994" w:type="dxa"/>
          </w:tcPr>
          <w:p w14:paraId="29B0B1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C3460BB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BC3609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111FA2B2" w:rsidR="001E057B" w:rsidRPr="00BC3609" w:rsidRDefault="0082498C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282460,96</w:t>
            </w:r>
          </w:p>
        </w:tc>
        <w:tc>
          <w:tcPr>
            <w:tcW w:w="994" w:type="dxa"/>
          </w:tcPr>
          <w:p w14:paraId="78255AD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706FBE9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BC3609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BC3609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5774AEA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288921,6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8720AB0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31E7E13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282445,6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AB3B344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82498C" w:rsidRPr="00BC3609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BC3609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BC3609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BC3609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BC3609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BC3609" w:rsidRDefault="00B15CB0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BC3609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BC3609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BC3609" w:rsidRPr="00BC3609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BC3609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BC3609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BC3609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BC3609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BC3609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BC3609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BC3609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BC6A9A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082DBA4B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103479D5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BC3609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76E72B8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BC3609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7FC8B907" w:rsidR="004174D5" w:rsidRPr="00BC3609" w:rsidRDefault="0068447F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BC3609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BC3609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</w:t>
            </w:r>
            <w:r w:rsidR="00BC6A9A" w:rsidRPr="00BC3609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BC3609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BC3609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BC3609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BC3609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BC3609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BC3609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BC3609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BC3609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BC3609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</w:t>
            </w:r>
            <w:r w:rsidRPr="00BC3609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 xml:space="preserve">. </w:t>
            </w:r>
            <w:r w:rsidRPr="00BC3609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BC3609" w:rsidRPr="00BC3609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BC3609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BC3609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BC3609" w:rsidRDefault="00BC6A9A" w:rsidP="00BC6A9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79B6543C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</w:t>
            </w:r>
            <w:r w:rsidR="00BC6A9A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355505FF" w:rsidR="00BC6A9A" w:rsidRPr="00BC3609" w:rsidRDefault="00C942B1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406E01B8" w14:textId="0415022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BC3609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BC3609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BC3609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27AD5381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1254,00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6EC8EAA6" w:rsidR="00BC6A9A" w:rsidRPr="00BC3609" w:rsidRDefault="00C942B1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7F7C80AA" w14:textId="34FF42B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BC3609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BC3609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BC3609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BC3609" w:rsidRDefault="00545D4A" w:rsidP="00545D4A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BC3609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BC3609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BC3609">
              <w:rPr>
                <w:sz w:val="18"/>
                <w:szCs w:val="18"/>
              </w:rPr>
              <w:t>для организация</w:t>
            </w:r>
            <w:proofErr w:type="gramEnd"/>
            <w:r w:rsidRPr="00BC3609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BC3609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BC3609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BC3609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BC3609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  <w:r w:rsidRPr="00BC3609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BC3609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BC3609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BC360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BC3609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BC3609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BC3609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BC3609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020E9"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BC3609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BC3609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327</w:t>
            </w:r>
            <w:r w:rsidR="007D2BC5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BC3609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BC3609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BC3609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BC3609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BC3609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BC3609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BC3609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BC3609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BC3609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BC3609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BC3609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BC3609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BC3609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BC3609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BC3609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</w:t>
            </w:r>
            <w:r w:rsidR="00423969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BC3609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BC3609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BC3609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4</w:t>
            </w:r>
            <w:r w:rsidR="00B752B7" w:rsidRPr="00BC3609">
              <w:rPr>
                <w:sz w:val="18"/>
                <w:szCs w:val="18"/>
              </w:rPr>
              <w:t>55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BC3609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BC3609" w:rsidRDefault="00C11EE2" w:rsidP="00C11EE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BC3609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BC3609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BC3609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BC3609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  <w:r w:rsidR="00B64DF1" w:rsidRPr="00BC3609">
              <w:rPr>
                <w:sz w:val="18"/>
                <w:szCs w:val="18"/>
              </w:rPr>
              <w:t>.3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BC3609" w:rsidRDefault="000741DE" w:rsidP="000741DE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BC3609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BC3609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BC3609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B752B7" w:rsidRPr="00BC3609">
              <w:rPr>
                <w:sz w:val="18"/>
                <w:szCs w:val="18"/>
              </w:rPr>
              <w:t>17</w:t>
            </w:r>
            <w:r w:rsidRPr="00BC3609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BC3609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  <w:r w:rsidR="00B752B7" w:rsidRPr="00BC3609">
              <w:rPr>
                <w:sz w:val="18"/>
                <w:szCs w:val="18"/>
              </w:rPr>
              <w:t>0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BC3609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BC3609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BC3609" w:rsidRDefault="00740BFD" w:rsidP="00034FF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BC3609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BC3609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BC3609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BC3609" w:rsidRDefault="00740BFD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</w:t>
            </w:r>
            <w:r w:rsidR="00A612F7" w:rsidRPr="00BC3609">
              <w:rPr>
                <w:sz w:val="18"/>
                <w:szCs w:val="18"/>
              </w:rPr>
              <w:t>4</w:t>
            </w:r>
            <w:r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BC3609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BC3609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  <w:r w:rsidR="00B64DF1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BC3609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B29ECC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59A6CF8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54F2" w:rsidRPr="00BC3609" w:rsidRDefault="00F054F2" w:rsidP="00F054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58E1608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11D050CB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54F2" w:rsidRPr="00BC3609" w:rsidRDefault="00F054F2" w:rsidP="00F054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BC3609" w:rsidRDefault="00C73D31" w:rsidP="00C73D3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5EF81A69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1A61AFED" w:rsidR="00C73D31" w:rsidRPr="00BC3609" w:rsidRDefault="00C11EE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BC3609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28AE23C4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7865514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BC3609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BC3609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BC3609">
              <w:rPr>
                <w:sz w:val="18"/>
                <w:szCs w:val="18"/>
              </w:rPr>
              <w:t>для организации</w:t>
            </w:r>
            <w:r w:rsidRPr="00BC3609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BC3609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BC3609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BC3609" w:rsidRDefault="00101AA1" w:rsidP="00101AA1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BC3609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BC3609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заключенных контрактов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BC3609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BC3609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BC3609" w:rsidRDefault="00EE00C9" w:rsidP="00EE00C9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BC3609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BC3609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BC3609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BC3609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BC3609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BC3609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BC3609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BC3609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BC3609" w:rsidRDefault="00A612F7">
      <w:pPr>
        <w:rPr>
          <w:rFonts w:ascii="Times New Roman" w:hAnsi="Times New Roman"/>
          <w:sz w:val="24"/>
          <w:szCs w:val="24"/>
        </w:rPr>
      </w:pPr>
      <w:bookmarkStart w:id="0" w:name="P987"/>
      <w:bookmarkEnd w:id="0"/>
      <w:r w:rsidRPr="00BC3609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C3609">
        <w:rPr>
          <w:rFonts w:ascii="Times New Roman" w:hAnsi="Times New Roman"/>
          <w:sz w:val="24"/>
          <w:szCs w:val="24"/>
          <w:lang w:val="en-US"/>
        </w:rPr>
        <w:t>III</w:t>
      </w:r>
      <w:r w:rsidRPr="00BC3609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BC3609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BC3609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BC3609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BC3609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BC3609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BC3609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BC3609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BC3609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BC3609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BC3609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BC3609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BC3609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BC3609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BC3609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BC3609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</w:t>
            </w:r>
            <w:r w:rsidR="00EE7122" w:rsidRPr="00BC3609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18400,63</w:t>
            </w:r>
          </w:p>
        </w:tc>
        <w:tc>
          <w:tcPr>
            <w:tcW w:w="965" w:type="dxa"/>
          </w:tcPr>
          <w:p w14:paraId="0DFEC800" w14:textId="53F39655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BC3609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BC3609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BC3609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BC3609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BC3609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BC3609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BC3609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BC3609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  <w:p w14:paraId="1843259B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BC3609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BC3609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BC3609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BC3609" w:rsidRPr="00BC3609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BC3609" w:rsidRDefault="003D2794" w:rsidP="00DF648D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BC3609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BC3609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BC3609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BC3609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BC3609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BC3609" w:rsidRDefault="004C14F8" w:rsidP="004C14F8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BC3609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  <w:r w:rsidR="00AA1783" w:rsidRPr="00BC3609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BC3609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BC3609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BC3609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BC3609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BC3609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</w:r>
            <w:r w:rsidRPr="00BC3609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BC3609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BC3609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BC3609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BC3609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02.01. </w:t>
            </w:r>
            <w:r w:rsidRPr="00BC3609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BC3609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BC3609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BC3609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BC3609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BC3609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BC3609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BC3609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BC3609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BC3609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BC3609" w:rsidRDefault="00703DB0" w:rsidP="00D60DA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BC3609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BC3609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BC3609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BC3609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BC3609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BC3609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BC3609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BC3609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BC3609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C3609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BC3609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BC3609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BC3609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BC3609" w:rsidRPr="00BC3609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BC3609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BC3609" w:rsidRPr="00BC3609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BC3609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BC3609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BC3609" w:rsidRDefault="00CE1274" w:rsidP="00CE1274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BC3609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BC3609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BC3609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BC3609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BC3609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BC3609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BC3609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BC3609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BC3609" w:rsidRDefault="00A56092" w:rsidP="00A56092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BC3609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BC3609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BC3609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BC3609" w:rsidRDefault="00211506" w:rsidP="00211506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03.03. </w:t>
            </w:r>
            <w:r w:rsidRPr="00BC3609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МУ «АСС </w:t>
            </w:r>
            <w:proofErr w:type="spellStart"/>
            <w:r w:rsidRPr="00BC3609">
              <w:rPr>
                <w:sz w:val="18"/>
                <w:szCs w:val="18"/>
              </w:rPr>
              <w:t>г.о</w:t>
            </w:r>
            <w:proofErr w:type="spellEnd"/>
            <w:r w:rsidRPr="00BC3609">
              <w:rPr>
                <w:sz w:val="18"/>
                <w:szCs w:val="18"/>
              </w:rPr>
              <w:t>. Электросталь»</w:t>
            </w:r>
          </w:p>
        </w:tc>
      </w:tr>
      <w:tr w:rsidR="00BC3609" w:rsidRPr="00BC3609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BC3609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BC3609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BC3609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BC3609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BC3609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BC3609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BC3609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03.04. </w:t>
            </w:r>
            <w:r w:rsidRPr="00BC3609">
              <w:rPr>
                <w:sz w:val="18"/>
                <w:szCs w:val="18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BC3609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BC3609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BC3609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BC3609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</w:t>
            </w:r>
            <w:r w:rsidRPr="00BC3609">
              <w:rPr>
                <w:sz w:val="18"/>
                <w:szCs w:val="18"/>
              </w:rPr>
              <w:lastRenderedPageBreak/>
              <w:t>делам ГО и ЧС</w:t>
            </w:r>
          </w:p>
        </w:tc>
      </w:tr>
      <w:tr w:rsidR="00BC3609" w:rsidRPr="00BC3609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BC3609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BC3609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BC3609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BC3609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BC3609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BC3609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BC3609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BC3609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BC3609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BC3609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BC3609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BC3609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BC3609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BC3609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BC3609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BC3609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BC3609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BC3609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BC3609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BC3609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BC3609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BC3609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BC3609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C3609" w:rsidRPr="00BC3609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BC3609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BC3609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BC3609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BC3609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BC3609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BC3609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BC3609" w:rsidRDefault="00403A03" w:rsidP="00403A0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BC3609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BC3609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BC3609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BC3609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BC3609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BC3609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C3609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C3609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 xml:space="preserve">Всего </w:t>
            </w:r>
            <w:r w:rsidRPr="00BC3609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BC3609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BC3609" w:rsidRDefault="0083484C" w:rsidP="0083484C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BC3609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BC3609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BC3609" w:rsidRDefault="005B38C3" w:rsidP="005B38C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01.01. </w:t>
            </w:r>
            <w:r w:rsidRPr="00BC3609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BC3609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BC3609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BC3609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BC3609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BC3609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BC3609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01.02. </w:t>
            </w:r>
            <w:r w:rsidRPr="00BC3609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BC3609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BC3609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BC3609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BC3609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5741,36</w:t>
            </w:r>
          </w:p>
        </w:tc>
        <w:tc>
          <w:tcPr>
            <w:tcW w:w="965" w:type="dxa"/>
          </w:tcPr>
          <w:p w14:paraId="694D603C" w14:textId="763E3252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BC3609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BC3609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BC3609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BC3609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BC3609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BC3609" w:rsidRDefault="00FB533B" w:rsidP="00FB533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01.04. 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BC3609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BC3609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BC3609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BC3609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BC3609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работающих извещателей, ед.</w:t>
            </w:r>
          </w:p>
          <w:p w14:paraId="7A39EE03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BC3609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BC3609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BC3609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BC3609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BC3609" w:rsidRDefault="00540C1B" w:rsidP="00540C1B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BC3609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</w:t>
            </w:r>
            <w:r w:rsidR="004927CE" w:rsidRPr="00BC3609">
              <w:rPr>
                <w:sz w:val="18"/>
                <w:szCs w:val="18"/>
              </w:rPr>
              <w:t>6</w:t>
            </w: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BC3609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</w:t>
            </w:r>
            <w:r w:rsidR="004927CE" w:rsidRPr="00BC3609">
              <w:rPr>
                <w:sz w:val="18"/>
                <w:szCs w:val="18"/>
              </w:rPr>
              <w:t>5</w:t>
            </w:r>
            <w:r w:rsidRPr="00BC3609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BC3609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BC3609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</w:t>
            </w:r>
            <w:r w:rsidRPr="00BC3609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10</w:t>
            </w:r>
            <w:r w:rsidR="00540C1B" w:rsidRPr="00BC3609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BC3609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BC3609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BC3609" w:rsidRPr="00BC3609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BC3609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BC3609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BC3609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BC3609" w:rsidRPr="00BC3609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BC3609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C3609" w:rsidRPr="00BC3609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BC3609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BC3609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BC3609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BC3609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BC3609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BC3609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Отдел по делам ГО и ЧС</w:t>
            </w:r>
          </w:p>
        </w:tc>
      </w:tr>
      <w:tr w:rsidR="00BC3609" w:rsidRPr="00BC3609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BC3609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BC3609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BC3609" w:rsidRPr="00BC3609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BC3609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BC3609" w:rsidRDefault="00852B83" w:rsidP="00852B83">
            <w:pPr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BC3609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BC3609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BC3609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BC3609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BC3609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BC3609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BC3609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BC3609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BC3609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BC3609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BC3609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BC3609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BC3609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BC3609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BC3609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BC3609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BC3609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BC3609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BC3609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BC3609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BC3609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ГО ЧС</w:t>
            </w:r>
          </w:p>
        </w:tc>
      </w:tr>
      <w:tr w:rsidR="00BC3609" w:rsidRPr="00BC3609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BC3609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BC3609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BC3609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BC3609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BC3609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BC3609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BC3609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BC3609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BC3609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BC3609" w:rsidRPr="00BC3609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BC3609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Х</w:t>
            </w:r>
          </w:p>
        </w:tc>
      </w:tr>
      <w:tr w:rsidR="00BC3609" w:rsidRPr="00BC3609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BC3609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C3609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BC3609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BC3609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BC3609" w:rsidRDefault="00EF6B4D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BC3609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C3609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C3609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BC3609" w:rsidRPr="00BC3609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BC3609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BC3609" w:rsidRPr="00BC3609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BC3609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BC3609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BC3609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BC36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BC3609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BC3609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BC3609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BC3609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BC3609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BC3609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BC3609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BC3609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BC3609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BC3609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BC3609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BC3609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BC3609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BC3609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BC3609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BC3609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BC3609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BC3609" w:rsidRPr="00BC3609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BC3609" w:rsidRPr="00BC3609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BC3609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BC3609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BC3609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BC3609" w:rsidRPr="00BC3609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BC3609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BC3609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BC3609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BC3609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BC3609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BC3609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609" w:rsidRPr="00BC3609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609" w:rsidRPr="00BC3609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BC3609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BC3609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BC3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BC3609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BC3609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BC3609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BC3609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BC3609" w:rsidRDefault="00F128CE">
      <w:pPr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BC3609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C3609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C3609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BC3609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BC3609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C3609" w:rsidRPr="00BC3609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3609" w:rsidRPr="00BC3609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BC3609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BC3609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C3609" w:rsidRPr="00BC3609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BC3609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C3609" w:rsidRPr="00BC3609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C3609" w:rsidRPr="00BC3609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BC3609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C3609" w:rsidRPr="00BC3609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C3609"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3609" w:rsidRPr="00BC3609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BC3609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BC3609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BC3609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BC3609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C3609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BC3609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BC3609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C3609" w:rsidRPr="00BC3609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C3609" w:rsidRPr="00BC3609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BC3609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C3609" w:rsidRPr="00BC3609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BC3609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BC3609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BC3609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BC3609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кол-во преступлений текущего года, </w:t>
            </w:r>
          </w:p>
          <w:p w14:paraId="3F29EA7D" w14:textId="77777777" w:rsidR="00F02A29" w:rsidRPr="00BC3609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BC3609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>.</w:t>
            </w:r>
            <w:r w:rsidR="00A3173C" w:rsidRPr="00BC36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BC3609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C3609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BC3609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C3609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C3609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5AFF6D2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C3609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C3609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C3609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C3609" w:rsidRPr="00BC3609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BC3609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BC3609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3609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C3609">
              <w:rPr>
                <w:rFonts w:ascii="Times New Roman" w:hAnsi="Times New Roman"/>
                <w:sz w:val="18"/>
                <w:szCs w:val="18"/>
              </w:rPr>
              <w:lastRenderedPageBreak/>
              <w:t>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BC3609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BC3609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BC3609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BC3609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BC3609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BC3609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BC3609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BC3609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6825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BC3609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BC3609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BC3609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BC3609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BC3609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BC3609" w:rsidRDefault="007222E2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C36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BC3609" w:rsidRDefault="007222E2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BC3609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BC3609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BC3609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BC3609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BC3609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BC3609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BC3609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BC3609" w:rsidRDefault="007222E2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BC3609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BC3609" w:rsidRDefault="007222E2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BC3609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BC3609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C3609" w:rsidRPr="00BC3609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BC3609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BC3609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BC3609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BC3609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BC3609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BC3609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BC3609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BC3609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BC3609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C3609" w:rsidRPr="00BC3609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BC3609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BC3609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BC3609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BC3609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BC3609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BC3609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BC3609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BC3609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BC3609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BC3609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BC3609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BC3609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BC3609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3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C3609" w:rsidRPr="00BC3609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BC3609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C3609" w:rsidRPr="00BC3609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C3609" w:rsidRPr="00BC3609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BC3609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BC3609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BC3609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BC3609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BC3609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BC3609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C36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BC3609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BC3609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C3609" w:rsidRPr="00BC3609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C3609" w:rsidRPr="00BC3609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C3609" w:rsidRPr="00BC3609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C3609" w:rsidRPr="00BC3609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C3609" w:rsidRPr="00BC3609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C3609" w:rsidRPr="00BC3609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C3609" w:rsidRPr="00BC3609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C3609" w:rsidRPr="00BC3609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BC3609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C3609" w:rsidRPr="00BC3609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C3609" w:rsidRPr="00BC3609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BC3609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C3609" w:rsidRPr="00BC3609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BC3609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C3609" w:rsidRPr="00BC3609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C3609" w:rsidRPr="00BC3609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C3609" w:rsidRPr="00BC3609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C3609" w:rsidRPr="00BC3609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BC3609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C3609" w:rsidRPr="00BC3609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BC3609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BC3609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BC3609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BC3609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C3609" w:rsidRPr="00BC3609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C3609" w:rsidRPr="00BC3609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BC3609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C3609" w:rsidRPr="00BC3609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C3609" w:rsidRPr="00BC3609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C3609" w:rsidRPr="00BC3609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BC3609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BC3609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BC3609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BC3609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BC3609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C3609" w:rsidRPr="00BC3609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BC3609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BC3609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BC3609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BC3609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C3609" w:rsidRPr="00BC3609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BC3609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BC3609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BC3609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BC3609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BC3609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BC3609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BC3609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BC3609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BC3609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C3609" w:rsidRPr="00BC3609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BC3609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BC3609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BC3609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BC3609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C3609" w:rsidRPr="00BC3609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BC3609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BC3609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BC3609" w:rsidRPr="00BC3609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BC3609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BC3609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BC3609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BC3609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BC3609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BC3609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BC3609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BC3609" w:rsidRPr="00BC3609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BC3609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BC3609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BC3609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BC3609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BC3609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BC3609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BC3609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BC3609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BC3609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C3609" w:rsidRPr="00BC3609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BC3609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BC3609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BC3609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C3609" w:rsidRPr="00BC3609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BC3609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BC3609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BC3609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C3609" w:rsidRPr="00BC3609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C3609" w:rsidRPr="00BC3609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BC3609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BC3609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BC3609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BC3609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утвержденных МЧС России 17.06.2016 № 2-4-71-34-11.</w:t>
            </w:r>
          </w:p>
        </w:tc>
      </w:tr>
      <w:tr w:rsidR="00BC3609" w:rsidRPr="00BC3609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BC3609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BC3609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BC3609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BC3609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BC3609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BC3609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BC3609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BC3609" w:rsidRPr="00BC3609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BC3609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BC3609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BC3609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BC3609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BC3609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BC3609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BC3609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BC3609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BC3609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BC3609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BC3609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BC3609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BC3609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BC3609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BC3609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BC3609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BC3609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BC3609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BC3609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BC3609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BC3609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C3609" w:rsidRPr="00BC3609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BC3609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BC3609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BC3609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BC3609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3609" w:rsidRPr="00BC3609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BC3609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BC3609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BC3609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BC3609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BC3609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BC3609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BC3609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BC3609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BC3609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BC3609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BC3609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BC3609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C3609" w:rsidRPr="00BC3609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BC3609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BC3609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BC3609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C3609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BC3609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BC3609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BC3609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C36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BC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BC3609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BC3609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14:paraId="4BB0B2D3" w14:textId="77777777" w:rsidR="003B60B9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безопасности</w:t>
      </w:r>
    </w:p>
    <w:p w14:paraId="67EAC162" w14:textId="54C923FD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 территориальной безопасности</w:t>
      </w:r>
    </w:p>
    <w:p w14:paraId="3409C5E9" w14:textId="77777777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Электросталь</w:t>
      </w:r>
    </w:p>
    <w:p w14:paraId="2A08C540" w14:textId="77777777" w:rsidR="00C93F43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BC3609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35B9ED9E" w:rsidR="00A9540C" w:rsidRPr="00BC3609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Д.Ф. </w:t>
      </w:r>
      <w:proofErr w:type="spellStart"/>
      <w:r w:rsidR="003B60B9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Диникин</w:t>
      </w:r>
      <w:proofErr w:type="spellEnd"/>
      <w:r w:rsidR="00ED7592" w:rsidRPr="00BC3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BC3609" w:rsidSect="0067634D">
      <w:footerReference w:type="default" r:id="rId16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1263" w14:textId="77777777" w:rsidR="00781854" w:rsidRDefault="00781854" w:rsidP="00103CAA">
      <w:pPr>
        <w:spacing w:after="0" w:line="240" w:lineRule="auto"/>
      </w:pPr>
      <w:r>
        <w:separator/>
      </w:r>
    </w:p>
  </w:endnote>
  <w:endnote w:type="continuationSeparator" w:id="0">
    <w:p w14:paraId="790D2E80" w14:textId="77777777" w:rsidR="00781854" w:rsidRDefault="00781854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6AA5" w14:textId="77777777" w:rsidR="00812A25" w:rsidRDefault="00812A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DC3A" w14:textId="77777777" w:rsidR="00BC3609" w:rsidRDefault="00BC36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6D60" w14:textId="77777777" w:rsidR="00812A25" w:rsidRDefault="00812A2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5B08" w14:textId="77777777" w:rsidR="00BC3609" w:rsidRPr="00243136" w:rsidRDefault="00BC3609" w:rsidP="004F55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7FD" w14:textId="77777777" w:rsidR="00781854" w:rsidRDefault="00781854" w:rsidP="00103CAA">
      <w:pPr>
        <w:spacing w:after="0" w:line="240" w:lineRule="auto"/>
      </w:pPr>
      <w:r>
        <w:separator/>
      </w:r>
    </w:p>
  </w:footnote>
  <w:footnote w:type="continuationSeparator" w:id="0">
    <w:p w14:paraId="70B1783A" w14:textId="77777777" w:rsidR="00781854" w:rsidRDefault="00781854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BC3609" w:rsidRPr="00A67274" w:rsidRDefault="00BC3609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5247" w14:textId="77777777" w:rsidR="00BC3609" w:rsidRDefault="00BC360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6659">
      <w:rPr>
        <w:noProof/>
      </w:rPr>
      <w:t>21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C2A5" w14:textId="77777777" w:rsidR="00812A25" w:rsidRDefault="00812A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3CDE" w14:textId="77777777" w:rsidR="00812A25" w:rsidRDefault="00812A2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683A" w14:textId="77777777" w:rsidR="00812A25" w:rsidRDefault="00812A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659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6E02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2E2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1854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2A25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2FB6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Table Web 2" w:uiPriority="0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924B-2D25-46FC-BFB2-69F2E59B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17707</Words>
  <Characters>100930</Characters>
  <Application>Microsoft Office Word</Application>
  <DocSecurity>0</DocSecurity>
  <Lines>841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Елена Даницкая</cp:lastModifiedBy>
  <cp:revision>2</cp:revision>
  <cp:lastPrinted>2024-04-04T08:17:00Z</cp:lastPrinted>
  <dcterms:created xsi:type="dcterms:W3CDTF">2024-04-04T08:18:00Z</dcterms:created>
  <dcterms:modified xsi:type="dcterms:W3CDTF">2024-04-04T08:18:00Z</dcterms:modified>
</cp:coreProperties>
</file>