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143" w:rsidRPr="00FB57B2" w:rsidRDefault="00817F19" w:rsidP="00817F19">
      <w:pPr>
        <w:pStyle w:val="a8"/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817F19">
        <w:rPr>
          <w:b/>
          <w:bCs/>
          <w:color w:val="212121"/>
          <w:sz w:val="36"/>
          <w:szCs w:val="36"/>
        </w:rPr>
        <w:t xml:space="preserve">Единое окно для бизнеса </w:t>
      </w:r>
    </w:p>
    <w:p w:rsidR="00817F19" w:rsidRPr="00DA5A24" w:rsidRDefault="0005466E" w:rsidP="00B82C32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17F19">
        <w:rPr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817F19">
        <w:rPr>
          <w:sz w:val="28"/>
          <w:szCs w:val="28"/>
        </w:rPr>
        <w:t>г</w:t>
      </w:r>
      <w:proofErr w:type="gramEnd"/>
      <w:r w:rsidRPr="00817F19">
        <w:rPr>
          <w:sz w:val="28"/>
          <w:szCs w:val="28"/>
        </w:rPr>
        <w:t xml:space="preserve">. Москве и Московской области </w:t>
      </w:r>
      <w:r w:rsidR="00817F19" w:rsidRPr="00817F19">
        <w:rPr>
          <w:sz w:val="28"/>
          <w:szCs w:val="28"/>
        </w:rPr>
        <w:t>напоминае</w:t>
      </w:r>
      <w:r w:rsidRPr="00817F19">
        <w:rPr>
          <w:sz w:val="28"/>
          <w:szCs w:val="28"/>
        </w:rPr>
        <w:t xml:space="preserve">т, что </w:t>
      </w:r>
      <w:r w:rsidR="00B82C32">
        <w:rPr>
          <w:sz w:val="28"/>
          <w:szCs w:val="28"/>
        </w:rPr>
        <w:t>с</w:t>
      </w:r>
      <w:r w:rsidR="00817F19" w:rsidRPr="00DA5A24">
        <w:rPr>
          <w:sz w:val="28"/>
          <w:szCs w:val="28"/>
        </w:rPr>
        <w:t xml:space="preserve"> начала года начал работу Социальный фонд России, который объединил Пенсионный фонд и Фонд социального страхования. 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>Новая структура не только сохранила все функции обеих платформ, но сделала их удобнее.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17F19" w:rsidRPr="00084A2A" w:rsidRDefault="00817F19" w:rsidP="00817F19">
      <w:pPr>
        <w:pStyle w:val="a8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0E3FEC">
        <w:rPr>
          <w:b/>
          <w:i/>
          <w:sz w:val="28"/>
          <w:szCs w:val="28"/>
          <w:u w:val="single"/>
        </w:rPr>
        <w:t xml:space="preserve">Управляющий Отделением Фонда пенсионного и социального страхования Российской Федерации по </w:t>
      </w:r>
      <w:proofErr w:type="gramStart"/>
      <w:r w:rsidRPr="000E3FEC">
        <w:rPr>
          <w:b/>
          <w:i/>
          <w:sz w:val="28"/>
          <w:szCs w:val="28"/>
          <w:u w:val="single"/>
        </w:rPr>
        <w:t>г</w:t>
      </w:r>
      <w:proofErr w:type="gramEnd"/>
      <w:r w:rsidRPr="000E3FEC">
        <w:rPr>
          <w:b/>
          <w:i/>
          <w:sz w:val="28"/>
          <w:szCs w:val="28"/>
          <w:u w:val="single"/>
        </w:rPr>
        <w:t xml:space="preserve">. Москве и Московской области Сергей </w:t>
      </w:r>
      <w:proofErr w:type="spellStart"/>
      <w:r w:rsidRPr="000E3FEC">
        <w:rPr>
          <w:b/>
          <w:i/>
          <w:sz w:val="28"/>
          <w:szCs w:val="28"/>
          <w:u w:val="single"/>
        </w:rPr>
        <w:t>Алещенко</w:t>
      </w:r>
      <w:proofErr w:type="spellEnd"/>
      <w:r w:rsidRPr="000E3FEC">
        <w:rPr>
          <w:b/>
          <w:i/>
          <w:sz w:val="28"/>
          <w:szCs w:val="28"/>
          <w:u w:val="single"/>
        </w:rPr>
        <w:t>:</w:t>
      </w:r>
      <w:r w:rsidRPr="00084A2A">
        <w:rPr>
          <w:sz w:val="28"/>
          <w:szCs w:val="28"/>
        </w:rPr>
        <w:t xml:space="preserve"> «</w:t>
      </w:r>
      <w:r w:rsidRPr="00084A2A">
        <w:rPr>
          <w:color w:val="212121"/>
          <w:sz w:val="28"/>
          <w:szCs w:val="28"/>
        </w:rPr>
        <w:t>Объединение фондов дало возможность гражданам быстрее и удобнее обращаться сразу за несколькими мерами поддержки.</w:t>
      </w:r>
    </w:p>
    <w:p w:rsidR="00817F19" w:rsidRPr="00084A2A" w:rsidRDefault="00817F19" w:rsidP="00817F19">
      <w:pPr>
        <w:pStyle w:val="a8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084A2A">
        <w:rPr>
          <w:color w:val="212121"/>
          <w:sz w:val="28"/>
          <w:szCs w:val="28"/>
        </w:rPr>
        <w:t>Ранее для получения полного объема социальной помощи необходимо было обращаться и в Пенсионный фонд, и в Фонд социального страхования. Благодаря объединению все услуги по линии ПФР и ФСС теперь можно получить в одном месте в рамках «одного окна», что  существенно упростило порядок получения выплат.</w:t>
      </w:r>
    </w:p>
    <w:p w:rsidR="00817F19" w:rsidRPr="00B603CF" w:rsidRDefault="00817F19" w:rsidP="00817F19">
      <w:pPr>
        <w:pStyle w:val="a8"/>
        <w:shd w:val="clear" w:color="auto" w:fill="FFFFFF"/>
        <w:spacing w:before="0" w:beforeAutospacing="0"/>
        <w:jc w:val="both"/>
        <w:rPr>
          <w:color w:val="212121"/>
          <w:sz w:val="28"/>
          <w:szCs w:val="28"/>
        </w:rPr>
      </w:pPr>
      <w:r w:rsidRPr="00084A2A">
        <w:rPr>
          <w:color w:val="212121"/>
          <w:sz w:val="28"/>
          <w:szCs w:val="28"/>
        </w:rPr>
        <w:t>До 2023 года фонды запрашивали информацию друг у друга через систему межведомственных запросов. После объединения в Единой базе данных аккумулируется весь спектр сведений, которые необходимы для назначения мер поддержки».</w:t>
      </w:r>
    </w:p>
    <w:p w:rsidR="00817F19" w:rsidRPr="00B603CF" w:rsidRDefault="00817F19" w:rsidP="00817F1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603CF">
        <w:rPr>
          <w:rFonts w:ascii="Times New Roman" w:hAnsi="Times New Roman"/>
          <w:b/>
          <w:sz w:val="28"/>
          <w:szCs w:val="28"/>
          <w:u w:val="single"/>
        </w:rPr>
        <w:t>Что изменилось для предпринимателей после объединения фондов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A5A24">
        <w:rPr>
          <w:rFonts w:ascii="Times New Roman" w:hAnsi="Times New Roman"/>
          <w:sz w:val="28"/>
          <w:szCs w:val="28"/>
          <w:u w:val="single"/>
        </w:rPr>
        <w:t>Благодаря объединению все услуги по линии ПФР и ФСС можно получать в одном месте в рамках «одного окна».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Единая база данных содержит</w:t>
      </w:r>
      <w:r w:rsidRPr="00DA5A24">
        <w:rPr>
          <w:rFonts w:ascii="Times New Roman" w:hAnsi="Times New Roman"/>
          <w:sz w:val="28"/>
          <w:szCs w:val="28"/>
        </w:rPr>
        <w:t xml:space="preserve"> больше информации о гражданах, которая необходима для назначения мер поддержки, и, как результат, сокращаются сроки ожидания выплат.</w:t>
      </w:r>
    </w:p>
    <w:p w:rsidR="00817F19" w:rsidRPr="000E3FEC" w:rsidRDefault="00817F19" w:rsidP="00817F19">
      <w:pPr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0E3FEC">
        <w:rPr>
          <w:rFonts w:ascii="Times New Roman" w:hAnsi="Times New Roman"/>
          <w:b/>
          <w:i/>
          <w:sz w:val="28"/>
          <w:szCs w:val="28"/>
          <w:u w:val="single"/>
        </w:rPr>
        <w:t xml:space="preserve">- Раньше работодатели формировали отдельные расчеты по каждому виду социального страхования, отдельные платежи, и предоставляли отчетность как в ПФР, так и в ФСС. Чтобы существенно упростить </w:t>
      </w:r>
      <w:r w:rsidRPr="000E3FEC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процедуру уплаты страховых взносов, был введен единый тариф. Благодаря этому работодателям достаточно сформировать один расчет и направить один платеж. Таким образом, обеспечивается «единое окно» для бизнеса, -  отметил управляющий Отделением Фонда пенсионного и социального страхования Российской Федерации по </w:t>
      </w:r>
      <w:proofErr w:type="gramStart"/>
      <w:r w:rsidRPr="000E3FEC">
        <w:rPr>
          <w:rFonts w:ascii="Times New Roman" w:hAnsi="Times New Roman"/>
          <w:b/>
          <w:i/>
          <w:sz w:val="28"/>
          <w:szCs w:val="28"/>
          <w:u w:val="single"/>
        </w:rPr>
        <w:t>г</w:t>
      </w:r>
      <w:proofErr w:type="gramEnd"/>
      <w:r w:rsidRPr="000E3FEC">
        <w:rPr>
          <w:rFonts w:ascii="Times New Roman" w:hAnsi="Times New Roman"/>
          <w:b/>
          <w:i/>
          <w:sz w:val="28"/>
          <w:szCs w:val="28"/>
          <w:u w:val="single"/>
        </w:rPr>
        <w:t xml:space="preserve">. Москве и Московской области Сергей </w:t>
      </w:r>
      <w:proofErr w:type="spellStart"/>
      <w:r w:rsidRPr="000E3FEC">
        <w:rPr>
          <w:rFonts w:ascii="Times New Roman" w:hAnsi="Times New Roman"/>
          <w:b/>
          <w:i/>
          <w:sz w:val="28"/>
          <w:szCs w:val="28"/>
          <w:u w:val="single"/>
        </w:rPr>
        <w:t>Алещенко</w:t>
      </w:r>
      <w:proofErr w:type="spellEnd"/>
      <w:r w:rsidRPr="000E3FEC">
        <w:rPr>
          <w:rFonts w:ascii="Times New Roman" w:hAnsi="Times New Roman"/>
          <w:b/>
          <w:i/>
          <w:sz w:val="28"/>
          <w:szCs w:val="28"/>
          <w:u w:val="single"/>
        </w:rPr>
        <w:t xml:space="preserve">. – Это не только упрощает документооборот для предприятий, но и снижает риск бухгалтерских ошибок и, следовательно, штрафов. 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>Платеж в установленной пропорции федеральное казначейство самостоятельно распределит по разным видам страхования, чтобы работодатели не тратили на это усилий и времени. Форма уплаты не меняется – это по-прежнему платежное поручение в банк.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 xml:space="preserve">Помимо единого тарифа страховых взносов и единой формы отчетности работодателей, появилась одна общая дата представления информации о работниках, что сделает порядок отчетности проще. </w:t>
      </w:r>
    </w:p>
    <w:p w:rsidR="00817F19" w:rsidRPr="00DA5A24" w:rsidRDefault="00817F19" w:rsidP="00817F1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A5A24">
        <w:rPr>
          <w:rFonts w:ascii="Times New Roman" w:hAnsi="Times New Roman"/>
          <w:b/>
          <w:sz w:val="28"/>
          <w:szCs w:val="28"/>
          <w:u w:val="single"/>
        </w:rPr>
        <w:t>Как изменилась отчетность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 xml:space="preserve">Пожалуй, самый обсуждаемый отчет 2023-го года – это ЕФС-1. Он объединил сразу несколько форм отчетности прошлых лет: СЗВ-СТАЖ,  СЗВ-ТД,  4-ФСС,  ДСВ-3. 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>ЕФС-1 сдают все работодатели без исключения. К тому же, с 2023 года в новый отчет надо включать не только тех, кто работает по трудовым договорам, но и тех, кто трудится по договорам ГПХ.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 xml:space="preserve">Отчеты за работников можно сдать в электронном или бумажном виде. Но если численность работающих, включая лиц, с которыми заключены договоры ГПХ, более 10 человек – только в электронном виде. 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A5A24">
        <w:rPr>
          <w:rFonts w:ascii="Times New Roman" w:hAnsi="Times New Roman"/>
          <w:sz w:val="28"/>
          <w:szCs w:val="28"/>
          <w:u w:val="single"/>
        </w:rPr>
        <w:t>ЕФС-1 состоит из титульного листа и двух разделов: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>- Раздел 1 «Сведения о трудовой (иной) деятельности, страховом стаже,  дополнительных страховых взносах на накопительную пенсию» (данные, которые раньше получал ПФР, о кадрах, зарплате и дополнительных страховых взносах на накопительную пенсию);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lastRenderedPageBreak/>
        <w:t>- Раздел 2 «Сведения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заболеваний» (а это то, что раньше называлось 4-ФСС).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A5A24">
        <w:rPr>
          <w:rFonts w:ascii="Times New Roman" w:hAnsi="Times New Roman"/>
          <w:sz w:val="28"/>
          <w:szCs w:val="28"/>
          <w:u w:val="single"/>
        </w:rPr>
        <w:t>Какие формы заменил новый отчет:</w:t>
      </w:r>
    </w:p>
    <w:tbl>
      <w:tblPr>
        <w:tblStyle w:val="ae"/>
        <w:tblW w:w="0" w:type="auto"/>
        <w:tblLook w:val="04A0"/>
      </w:tblPr>
      <w:tblGrid>
        <w:gridCol w:w="1624"/>
        <w:gridCol w:w="2568"/>
        <w:gridCol w:w="2687"/>
        <w:gridCol w:w="3259"/>
      </w:tblGrid>
      <w:tr w:rsidR="00817F19" w:rsidRPr="00DA5A24" w:rsidTr="00817F19">
        <w:tc>
          <w:tcPr>
            <w:tcW w:w="1597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Какой отчет заменяет ЕФС-1</w:t>
            </w:r>
          </w:p>
        </w:tc>
        <w:tc>
          <w:tcPr>
            <w:tcW w:w="2387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Какие листы входят в отчет</w:t>
            </w:r>
          </w:p>
        </w:tc>
        <w:tc>
          <w:tcPr>
            <w:tcW w:w="2700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 xml:space="preserve">Сроки сдачи </w:t>
            </w:r>
          </w:p>
        </w:tc>
        <w:tc>
          <w:tcPr>
            <w:tcW w:w="2661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Изменения</w:t>
            </w:r>
          </w:p>
        </w:tc>
      </w:tr>
      <w:tr w:rsidR="00817F19" w:rsidRPr="00DA5A24" w:rsidTr="00817F19">
        <w:tc>
          <w:tcPr>
            <w:tcW w:w="1597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Вместо СЗВ-ТД</w:t>
            </w:r>
          </w:p>
        </w:tc>
        <w:tc>
          <w:tcPr>
            <w:tcW w:w="2387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 1 раздела 1;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 1.1 подраздела 1</w:t>
            </w:r>
          </w:p>
        </w:tc>
        <w:tc>
          <w:tcPr>
            <w:tcW w:w="2700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b/>
                <w:sz w:val="24"/>
                <w:szCs w:val="24"/>
              </w:rPr>
              <w:t>до 25 числа</w:t>
            </w:r>
            <w:r w:rsidRPr="00DA5A24">
              <w:rPr>
                <w:rFonts w:ascii="Times New Roman" w:hAnsi="Times New Roman"/>
                <w:sz w:val="24"/>
                <w:szCs w:val="24"/>
              </w:rPr>
              <w:t xml:space="preserve"> следующего месяца – по переводам и выбору способа ведения трудовой книжки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b/>
                <w:sz w:val="24"/>
                <w:szCs w:val="24"/>
              </w:rPr>
              <w:t>на следующий рабочий день</w:t>
            </w:r>
            <w:r w:rsidRPr="00DA5A24">
              <w:rPr>
                <w:rFonts w:ascii="Times New Roman" w:hAnsi="Times New Roman"/>
                <w:sz w:val="24"/>
                <w:szCs w:val="24"/>
              </w:rPr>
              <w:t xml:space="preserve"> – по приемам, началу и окончанию договоров ГПХ, приостановлению и возобновлению трудовых договоров </w:t>
            </w:r>
          </w:p>
        </w:tc>
        <w:tc>
          <w:tcPr>
            <w:tcW w:w="2661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 xml:space="preserve">Учитывать надо ГПД, с </w:t>
            </w:r>
            <w:proofErr w:type="gramStart"/>
            <w:r w:rsidRPr="00DA5A24">
              <w:rPr>
                <w:rFonts w:ascii="Times New Roman" w:hAnsi="Times New Roman"/>
                <w:sz w:val="24"/>
                <w:szCs w:val="24"/>
              </w:rPr>
              <w:t>выплат</w:t>
            </w:r>
            <w:proofErr w:type="gramEnd"/>
            <w:r w:rsidRPr="00DA5A24">
              <w:rPr>
                <w:rFonts w:ascii="Times New Roman" w:hAnsi="Times New Roman"/>
                <w:sz w:val="24"/>
                <w:szCs w:val="24"/>
              </w:rPr>
              <w:t xml:space="preserve"> по которым начисляются страховые взносы. Например, договоры  на выполнение работ, оказания услуг, авторского заказа, передачу прав и т.п. 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В форме указать, когда был заключен или прекращен договор ГПХ, это также нужно прописать в графе «кадровые мероприятия».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После объявления о частичной мобилизации в форме появились 2 новых кадровых мероприятия – «ПРИОСТАНОВЛЕНИЕ» и «ВОЗОБНОВЛЕНИЕ».</w:t>
            </w:r>
          </w:p>
        </w:tc>
      </w:tr>
      <w:tr w:rsidR="00817F19" w:rsidRPr="00DA5A24" w:rsidTr="00817F19">
        <w:tc>
          <w:tcPr>
            <w:tcW w:w="1597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Вместо СЗВ-СТАЖ + ОВД-1</w:t>
            </w:r>
          </w:p>
        </w:tc>
        <w:tc>
          <w:tcPr>
            <w:tcW w:w="2387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 1 раздела 1;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 1.2 подраздела 1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 2 раздела 1;</w:t>
            </w:r>
          </w:p>
          <w:p w:rsidR="00817F19" w:rsidRPr="00DA5A24" w:rsidRDefault="00817F19" w:rsidP="00817F1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 xml:space="preserve">(если есть </w:t>
            </w:r>
            <w:r w:rsidRPr="00DA5A24">
              <w:rPr>
                <w:rFonts w:ascii="Times New Roman" w:hAnsi="Times New Roman"/>
                <w:sz w:val="24"/>
                <w:szCs w:val="24"/>
              </w:rPr>
              <w:lastRenderedPageBreak/>
              <w:t>данные)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до 25 января</w:t>
            </w:r>
            <w:r w:rsidRPr="00DA5A24">
              <w:rPr>
                <w:rFonts w:ascii="Times New Roman" w:hAnsi="Times New Roman"/>
                <w:sz w:val="24"/>
                <w:szCs w:val="24"/>
              </w:rPr>
              <w:t xml:space="preserve"> следующего года 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7F19" w:rsidRPr="00DA5A24" w:rsidRDefault="00817F19" w:rsidP="00817F1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61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 xml:space="preserve">Заполняется при наличии особенностей учета у сотрудника, например, отпуск по уходу за ребенком от 1,5 до 3 лет; отстранение от работы, приостановление договора; досрочная </w:t>
            </w:r>
            <w:r w:rsidRPr="00DA5A24">
              <w:rPr>
                <w:rFonts w:ascii="Times New Roman" w:hAnsi="Times New Roman"/>
                <w:sz w:val="24"/>
                <w:szCs w:val="24"/>
              </w:rPr>
              <w:lastRenderedPageBreak/>
              <w:t>пенсия.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появились 2 новые графы: номер 11 и номер 12.</w:t>
            </w:r>
          </w:p>
          <w:p w:rsidR="00817F19" w:rsidRPr="00DA5A24" w:rsidRDefault="00817F19" w:rsidP="00817F1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Графа 11 – с указанием индивидуального номера рабочего места;</w:t>
            </w:r>
          </w:p>
          <w:p w:rsidR="00817F19" w:rsidRPr="00DA5A24" w:rsidRDefault="00817F19" w:rsidP="00817F1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Графа 12 – с указанием класса (подкласса) условий труда.</w:t>
            </w:r>
          </w:p>
        </w:tc>
      </w:tr>
      <w:tr w:rsidR="00817F19" w:rsidRPr="00DA5A24" w:rsidTr="00817F19">
        <w:tc>
          <w:tcPr>
            <w:tcW w:w="1597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Новый отчет для бюджетников </w:t>
            </w:r>
          </w:p>
        </w:tc>
        <w:tc>
          <w:tcPr>
            <w:tcW w:w="2387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</w:t>
            </w:r>
            <w:proofErr w:type="gramStart"/>
            <w:r w:rsidRPr="00DA5A2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DA5A2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 1.3</w:t>
            </w:r>
          </w:p>
        </w:tc>
        <w:tc>
          <w:tcPr>
            <w:tcW w:w="2700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b/>
                <w:sz w:val="24"/>
                <w:szCs w:val="24"/>
              </w:rPr>
              <w:t>до 25 числа</w:t>
            </w:r>
            <w:r w:rsidRPr="00DA5A24">
              <w:rPr>
                <w:rFonts w:ascii="Times New Roman" w:hAnsi="Times New Roman"/>
                <w:sz w:val="24"/>
                <w:szCs w:val="24"/>
              </w:rPr>
              <w:t xml:space="preserve"> следующего месяца</w:t>
            </w:r>
          </w:p>
        </w:tc>
        <w:tc>
          <w:tcPr>
            <w:tcW w:w="2661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 xml:space="preserve">Форма состоит из 25 граф, основная масса которых заполняется кодами из соответствующих классификаторов. Важно вовремя обновить классификаторы в своем </w:t>
            </w:r>
            <w:proofErr w:type="gramStart"/>
            <w:r w:rsidRPr="00DA5A2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DA5A2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7F19" w:rsidRPr="00DA5A24" w:rsidTr="00817F19">
        <w:tc>
          <w:tcPr>
            <w:tcW w:w="1597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Вместо ДСВ-3</w:t>
            </w:r>
          </w:p>
        </w:tc>
        <w:tc>
          <w:tcPr>
            <w:tcW w:w="2387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 3</w:t>
            </w:r>
          </w:p>
        </w:tc>
        <w:tc>
          <w:tcPr>
            <w:tcW w:w="2700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b/>
                <w:sz w:val="24"/>
                <w:szCs w:val="24"/>
              </w:rPr>
              <w:t>до 25 числа</w:t>
            </w:r>
            <w:r w:rsidRPr="00DA5A24">
              <w:rPr>
                <w:rFonts w:ascii="Times New Roman" w:hAnsi="Times New Roman"/>
                <w:sz w:val="24"/>
                <w:szCs w:val="24"/>
              </w:rPr>
              <w:t xml:space="preserve"> следующего квартала </w:t>
            </w:r>
          </w:p>
        </w:tc>
        <w:tc>
          <w:tcPr>
            <w:tcW w:w="2661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17F19" w:rsidRPr="00DA5A24" w:rsidTr="00817F19">
        <w:tc>
          <w:tcPr>
            <w:tcW w:w="1597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 xml:space="preserve">Вместо 4-ФСС </w:t>
            </w:r>
          </w:p>
        </w:tc>
        <w:tc>
          <w:tcPr>
            <w:tcW w:w="2387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Титульный лист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 2.1 раздела 2;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 2.1.1 подраздела 2.1(если есть данные)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 2.2 раздела 2; (если есть данные)</w:t>
            </w:r>
          </w:p>
          <w:p w:rsidR="00817F19" w:rsidRPr="00DA5A24" w:rsidRDefault="00817F19" w:rsidP="00817F19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>Подраздел 2.3 раздела 2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817F19" w:rsidRPr="00DA5A24" w:rsidRDefault="00817F19" w:rsidP="00817F19">
            <w:pPr>
              <w:pStyle w:val="ad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b/>
                <w:sz w:val="24"/>
                <w:szCs w:val="24"/>
              </w:rPr>
              <w:t>до 25 числа</w:t>
            </w:r>
            <w:r w:rsidRPr="00DA5A24">
              <w:rPr>
                <w:rFonts w:ascii="Times New Roman" w:hAnsi="Times New Roman"/>
                <w:sz w:val="24"/>
                <w:szCs w:val="24"/>
              </w:rPr>
              <w:t xml:space="preserve"> следующего квартала</w:t>
            </w:r>
          </w:p>
        </w:tc>
        <w:tc>
          <w:tcPr>
            <w:tcW w:w="2661" w:type="dxa"/>
          </w:tcPr>
          <w:p w:rsidR="00817F19" w:rsidRPr="00DA5A24" w:rsidRDefault="00817F19" w:rsidP="00817F19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5A24">
              <w:rPr>
                <w:rFonts w:ascii="Times New Roman" w:hAnsi="Times New Roman"/>
                <w:sz w:val="24"/>
                <w:szCs w:val="24"/>
              </w:rPr>
              <w:t xml:space="preserve">Нужно указывать сотрудников со страховкой от несчастных случаев и профессиональных заболеваний. </w:t>
            </w:r>
          </w:p>
        </w:tc>
      </w:tr>
    </w:tbl>
    <w:p w:rsidR="00817F19" w:rsidRPr="00DA5A24" w:rsidRDefault="00817F19" w:rsidP="00817F1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 xml:space="preserve">Многие бухгалтеры упускают из виду еще один отчет по сотрудникам -  СЗВ-М. Теперь это - «Персонифицированные сведения о физических лицах», по сути, сокращенный раздел 3 расчета по страховым взносам. Его надо отправлять в </w:t>
      </w:r>
      <w:proofErr w:type="gramStart"/>
      <w:r w:rsidRPr="00DA5A24">
        <w:rPr>
          <w:rFonts w:ascii="Times New Roman" w:hAnsi="Times New Roman"/>
          <w:sz w:val="28"/>
          <w:szCs w:val="28"/>
        </w:rPr>
        <w:lastRenderedPageBreak/>
        <w:t>налоговую</w:t>
      </w:r>
      <w:proofErr w:type="gramEnd"/>
      <w:r w:rsidRPr="00DA5A24">
        <w:rPr>
          <w:rFonts w:ascii="Times New Roman" w:hAnsi="Times New Roman"/>
          <w:sz w:val="28"/>
          <w:szCs w:val="28"/>
        </w:rPr>
        <w:t xml:space="preserve"> каждый месяц, а налоговики уже сами будут направлять их в Социальный фонд.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 xml:space="preserve">И еще одна важная особенность. Помните, что все кадровые мероприятия фиксируются не </w:t>
      </w:r>
      <w:proofErr w:type="gramStart"/>
      <w:r w:rsidRPr="00DA5A24">
        <w:rPr>
          <w:rFonts w:ascii="Times New Roman" w:hAnsi="Times New Roman"/>
          <w:sz w:val="28"/>
          <w:szCs w:val="28"/>
        </w:rPr>
        <w:t>с даты наступления</w:t>
      </w:r>
      <w:proofErr w:type="gramEnd"/>
      <w:r w:rsidRPr="00DA5A24">
        <w:rPr>
          <w:rFonts w:ascii="Times New Roman" w:hAnsi="Times New Roman"/>
          <w:sz w:val="28"/>
          <w:szCs w:val="28"/>
        </w:rPr>
        <w:t xml:space="preserve"> кадрового события, а с даты выхода приказа о нем.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A5A24">
        <w:rPr>
          <w:rFonts w:ascii="Times New Roman" w:hAnsi="Times New Roman"/>
          <w:sz w:val="28"/>
          <w:szCs w:val="28"/>
          <w:u w:val="single"/>
        </w:rPr>
        <w:t xml:space="preserve">В 2022 году, если 4-ФСС представляли на бумажном носителе, а по закону должны были отчитаться в электронном виде, штраф был 200 рублей за документ. С нового года этой нормы больше нет. Штрафовать будут за несоблюдение порядка представления единой формы – в 1000 рублей. 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 xml:space="preserve">На самом деле, ЕФС-1 не так </w:t>
      </w:r>
      <w:proofErr w:type="gramStart"/>
      <w:r w:rsidRPr="00DA5A24">
        <w:rPr>
          <w:rFonts w:ascii="Times New Roman" w:hAnsi="Times New Roman"/>
          <w:sz w:val="28"/>
          <w:szCs w:val="28"/>
        </w:rPr>
        <w:t>страшен</w:t>
      </w:r>
      <w:proofErr w:type="gramEnd"/>
      <w:r w:rsidRPr="00DA5A24">
        <w:rPr>
          <w:rFonts w:ascii="Times New Roman" w:hAnsi="Times New Roman"/>
          <w:sz w:val="28"/>
          <w:szCs w:val="28"/>
        </w:rPr>
        <w:t>, как о нем говорят. Все формы достаточно знакомы и понятны, главное обратить внимание на отдельные изменения и правильно указывать коды из справочников.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  <w:u w:val="single"/>
        </w:rPr>
      </w:pPr>
    </w:p>
    <w:p w:rsidR="00817F19" w:rsidRPr="00DA5A24" w:rsidRDefault="00817F19" w:rsidP="00817F19">
      <w:pPr>
        <w:jc w:val="both"/>
        <w:rPr>
          <w:rFonts w:ascii="Times New Roman" w:hAnsi="Times New Roman"/>
          <w:b/>
          <w:sz w:val="28"/>
          <w:szCs w:val="28"/>
        </w:rPr>
      </w:pPr>
      <w:r w:rsidRPr="00DA5A24">
        <w:rPr>
          <w:rFonts w:ascii="Times New Roman" w:hAnsi="Times New Roman"/>
          <w:b/>
          <w:sz w:val="28"/>
          <w:szCs w:val="28"/>
        </w:rPr>
        <w:t>Делать взносы станет проще</w:t>
      </w:r>
    </w:p>
    <w:tbl>
      <w:tblPr>
        <w:tblStyle w:val="ae"/>
        <w:tblW w:w="0" w:type="auto"/>
        <w:tblLook w:val="04A0"/>
      </w:tblPr>
      <w:tblGrid>
        <w:gridCol w:w="4672"/>
        <w:gridCol w:w="4673"/>
      </w:tblGrid>
      <w:tr w:rsidR="00817F19" w:rsidRPr="00DA5A24" w:rsidTr="00817F19">
        <w:tc>
          <w:tcPr>
            <w:tcW w:w="4672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Было</w:t>
            </w:r>
          </w:p>
        </w:tc>
        <w:tc>
          <w:tcPr>
            <w:tcW w:w="4673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 xml:space="preserve">Стало </w:t>
            </w:r>
          </w:p>
        </w:tc>
      </w:tr>
      <w:tr w:rsidR="00817F19" w:rsidRPr="00DA5A24" w:rsidTr="00817F19">
        <w:tc>
          <w:tcPr>
            <w:tcW w:w="4672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Взносы с зарплаты каждого штатного сотрудника: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22% в Пенсионный фонд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5,1% в фонд ОМС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 xml:space="preserve">2,9% в ФСС 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Взносы с зарплаты каждого штатного сотрудника: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30% в Социальный фонд России</w:t>
            </w:r>
          </w:p>
        </w:tc>
      </w:tr>
      <w:tr w:rsidR="00817F19" w:rsidRPr="00DA5A24" w:rsidTr="00817F19">
        <w:tc>
          <w:tcPr>
            <w:tcW w:w="4672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Предельная база: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 xml:space="preserve">1 565 000 рублей Пенсионный фонд 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1 032 000 рублей Фонд социального страхования</w:t>
            </w:r>
          </w:p>
        </w:tc>
        <w:tc>
          <w:tcPr>
            <w:tcW w:w="4673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Предельная база: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1 917 000 руб.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A24">
              <w:rPr>
                <w:rFonts w:ascii="Times New Roman" w:hAnsi="Times New Roman"/>
                <w:sz w:val="28"/>
                <w:szCs w:val="28"/>
              </w:rPr>
              <w:t>565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5A24">
              <w:rPr>
                <w:rFonts w:ascii="Times New Roman" w:hAnsi="Times New Roman"/>
                <w:sz w:val="28"/>
                <w:szCs w:val="28"/>
              </w:rPr>
              <w:t>000 руб.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7F19" w:rsidRPr="00DA5A24" w:rsidTr="00817F19">
        <w:tc>
          <w:tcPr>
            <w:tcW w:w="4672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Взносы сверх предельной базы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 xml:space="preserve">10% Пенсионный фонд 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 xml:space="preserve">- Фонд социального страхования </w:t>
            </w:r>
          </w:p>
        </w:tc>
        <w:tc>
          <w:tcPr>
            <w:tcW w:w="4673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>Взносы сверх предельной базы</w:t>
            </w:r>
          </w:p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 xml:space="preserve">15,1% </w:t>
            </w:r>
          </w:p>
        </w:tc>
      </w:tr>
      <w:tr w:rsidR="00817F19" w:rsidRPr="00DA5A24" w:rsidTr="00817F19">
        <w:tc>
          <w:tcPr>
            <w:tcW w:w="4672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 xml:space="preserve">Взносы в Фонд социального страхования надо делать только за работников, занятых по трудовым договорам. По ГПХ – не нужно.  </w:t>
            </w:r>
          </w:p>
        </w:tc>
        <w:tc>
          <w:tcPr>
            <w:tcW w:w="4673" w:type="dxa"/>
          </w:tcPr>
          <w:p w:rsidR="00817F19" w:rsidRPr="00DA5A24" w:rsidRDefault="00817F19" w:rsidP="00817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A24">
              <w:rPr>
                <w:rFonts w:ascii="Times New Roman" w:hAnsi="Times New Roman"/>
                <w:sz w:val="28"/>
                <w:szCs w:val="28"/>
              </w:rPr>
              <w:t xml:space="preserve">Взносы надо делать за всех сотрудников, в том числе работающих по ГПХ. </w:t>
            </w:r>
          </w:p>
        </w:tc>
      </w:tr>
    </w:tbl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A5A24">
        <w:rPr>
          <w:rFonts w:ascii="Times New Roman" w:hAnsi="Times New Roman"/>
          <w:sz w:val="28"/>
          <w:szCs w:val="28"/>
          <w:u w:val="single"/>
        </w:rPr>
        <w:lastRenderedPageBreak/>
        <w:t xml:space="preserve">Тарифы страховых взносов льготных категорий: 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 xml:space="preserve">15% с выплат выше МРОТ: малый и средний бизнес, резиденты </w:t>
      </w:r>
      <w:proofErr w:type="spellStart"/>
      <w:r w:rsidRPr="00DA5A24">
        <w:rPr>
          <w:rFonts w:ascii="Times New Roman" w:hAnsi="Times New Roman"/>
          <w:sz w:val="28"/>
          <w:szCs w:val="28"/>
        </w:rPr>
        <w:t>Сколково</w:t>
      </w:r>
      <w:proofErr w:type="spellEnd"/>
      <w:r w:rsidRPr="00DA5A24">
        <w:rPr>
          <w:rFonts w:ascii="Times New Roman" w:hAnsi="Times New Roman"/>
          <w:sz w:val="28"/>
          <w:szCs w:val="28"/>
        </w:rPr>
        <w:t>.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 xml:space="preserve">7,6%: </w:t>
      </w:r>
      <w:proofErr w:type="spellStart"/>
      <w:r w:rsidRPr="00DA5A24">
        <w:rPr>
          <w:rFonts w:ascii="Times New Roman" w:hAnsi="Times New Roman"/>
          <w:sz w:val="28"/>
          <w:szCs w:val="28"/>
        </w:rPr>
        <w:t>ИТ-компании</w:t>
      </w:r>
      <w:proofErr w:type="spellEnd"/>
      <w:r w:rsidRPr="00DA5A24">
        <w:rPr>
          <w:rFonts w:ascii="Times New Roman" w:hAnsi="Times New Roman"/>
          <w:sz w:val="28"/>
          <w:szCs w:val="28"/>
        </w:rPr>
        <w:t>, НКО, благотворительные фонды, организации-мультипликаторы, резиденты особых экономических зон и территорий опережающего развития, а также организации, уплачивающие взносы за деятельность студентов-очников вузов в студенческих отрядах;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</w:rPr>
      </w:pPr>
      <w:r w:rsidRPr="00DA5A24">
        <w:rPr>
          <w:rFonts w:ascii="Times New Roman" w:hAnsi="Times New Roman"/>
          <w:sz w:val="28"/>
          <w:szCs w:val="28"/>
        </w:rPr>
        <w:t>0%: экипажи судов, зарегистрированных в Российском международном реестре судов, организации и индивидуальные предприниматели, применяющие специальный налоговый режим «Автоматизированная упрощенная система налогообложения» (АУСН);</w:t>
      </w:r>
    </w:p>
    <w:p w:rsidR="00817F19" w:rsidRPr="00DA5A24" w:rsidRDefault="00817F19" w:rsidP="00817F19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DA5A24">
        <w:rPr>
          <w:rFonts w:ascii="Times New Roman" w:hAnsi="Times New Roman"/>
          <w:sz w:val="28"/>
          <w:szCs w:val="28"/>
          <w:u w:val="single"/>
        </w:rPr>
        <w:t>Вынос: В результате этих изменений существенную поддержку получили НКО и благотворительные фонды – для них тариф уплаты страховых взносов снизился с 20% до 7,6%.</w:t>
      </w:r>
    </w:p>
    <w:p w:rsidR="00817F19" w:rsidRPr="000A4143" w:rsidRDefault="00817F19" w:rsidP="00817F19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7C94" w:rsidRPr="00D07C94" w:rsidRDefault="00D07C94" w:rsidP="000A4143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604A86" w:rsidRPr="00EC3560" w:rsidRDefault="00604A86" w:rsidP="00D07C94">
      <w:pPr>
        <w:pStyle w:val="a8"/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F19" w:rsidRDefault="00817F19" w:rsidP="00E60B04">
      <w:pPr>
        <w:spacing w:after="0" w:line="240" w:lineRule="auto"/>
      </w:pPr>
      <w:r>
        <w:separator/>
      </w:r>
    </w:p>
  </w:endnote>
  <w:endnote w:type="continuationSeparator" w:id="0">
    <w:p w:rsidR="00817F19" w:rsidRDefault="00817F19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19" w:rsidRPr="0079038C" w:rsidRDefault="00817F19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817F19" w:rsidRPr="004736C6" w:rsidRDefault="00817F1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F19" w:rsidRDefault="00817F19" w:rsidP="00E60B04">
      <w:pPr>
        <w:spacing w:after="0" w:line="240" w:lineRule="auto"/>
      </w:pPr>
      <w:r>
        <w:separator/>
      </w:r>
    </w:p>
  </w:footnote>
  <w:footnote w:type="continuationSeparator" w:id="0">
    <w:p w:rsidR="00817F19" w:rsidRDefault="00817F19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F19" w:rsidRDefault="00817F19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817F19" w:rsidRDefault="00817F19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817F19" w:rsidRPr="0079038C" w:rsidRDefault="00817F19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817F19" w:rsidRPr="0079038C" w:rsidRDefault="00817F19" w:rsidP="0079038C">
                <w:pPr>
                  <w:jc w:val="center"/>
                  <w:rPr>
                    <w:lang w:eastAsia="ar-SA"/>
                  </w:rPr>
                </w:pPr>
              </w:p>
              <w:p w:rsidR="00817F19" w:rsidRPr="0079038C" w:rsidRDefault="00817F19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817F19" w:rsidRDefault="00817F19" w:rsidP="00E60B04"/>
              <w:p w:rsidR="00817F19" w:rsidRDefault="00817F19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E362D"/>
    <w:multiLevelType w:val="hybridMultilevel"/>
    <w:tmpl w:val="6666C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E3FDB"/>
    <w:multiLevelType w:val="hybridMultilevel"/>
    <w:tmpl w:val="CC4A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2B47ED"/>
    <w:multiLevelType w:val="hybridMultilevel"/>
    <w:tmpl w:val="0B0E8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3C4C4E"/>
    <w:multiLevelType w:val="multilevel"/>
    <w:tmpl w:val="3662B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D00D4C"/>
    <w:multiLevelType w:val="hybridMultilevel"/>
    <w:tmpl w:val="59046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2"/>
  </w:num>
  <w:num w:numId="11">
    <w:abstractNumId w:val="11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3E44"/>
    <w:rsid w:val="00087844"/>
    <w:rsid w:val="000A2F7D"/>
    <w:rsid w:val="000A4143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9CA"/>
    <w:rsid w:val="002F47C2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67F53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17F19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4652D"/>
    <w:rsid w:val="00B7023D"/>
    <w:rsid w:val="00B728E7"/>
    <w:rsid w:val="00B733F3"/>
    <w:rsid w:val="00B82883"/>
    <w:rsid w:val="00B82C32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928D4"/>
    <w:rsid w:val="00CA6F3E"/>
    <w:rsid w:val="00CC318C"/>
    <w:rsid w:val="00CC334C"/>
    <w:rsid w:val="00CC53EA"/>
    <w:rsid w:val="00CE4883"/>
    <w:rsid w:val="00D07C94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42541"/>
    <w:rsid w:val="00E546CB"/>
    <w:rsid w:val="00E578AB"/>
    <w:rsid w:val="00E60B04"/>
    <w:rsid w:val="00E63FC3"/>
    <w:rsid w:val="00E70CB6"/>
    <w:rsid w:val="00E71F4E"/>
    <w:rsid w:val="00EA42FD"/>
    <w:rsid w:val="00EC3560"/>
    <w:rsid w:val="00ED2C0A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B57B2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 Paragraph"/>
    <w:basedOn w:val="a"/>
    <w:uiPriority w:val="34"/>
    <w:qFormat/>
    <w:rsid w:val="00817F19"/>
    <w:pPr>
      <w:ind w:left="720"/>
      <w:contextualSpacing/>
    </w:pPr>
  </w:style>
  <w:style w:type="table" w:styleId="ae">
    <w:name w:val="Table Grid"/>
    <w:basedOn w:val="a1"/>
    <w:uiPriority w:val="39"/>
    <w:rsid w:val="00817F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21</cp:revision>
  <cp:lastPrinted>2023-06-01T06:34:00Z</cp:lastPrinted>
  <dcterms:created xsi:type="dcterms:W3CDTF">2023-01-20T13:29:00Z</dcterms:created>
  <dcterms:modified xsi:type="dcterms:W3CDTF">2023-06-01T06:53:00Z</dcterms:modified>
</cp:coreProperties>
</file>