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5473E2" w:rsidRDefault="00B42B92" w:rsidP="004762DB">
      <w:pPr>
        <w:ind w:right="-2"/>
        <w:jc w:val="right"/>
        <w:rPr>
          <w:b/>
        </w:rPr>
      </w:pPr>
      <w:r w:rsidRPr="00CA1FF1">
        <w:rPr>
          <w:b/>
        </w:rPr>
        <w:t xml:space="preserve"> </w:t>
      </w:r>
    </w:p>
    <w:p w:rsidR="004762DB" w:rsidRPr="005473E2" w:rsidRDefault="004762DB" w:rsidP="004C1BE3">
      <w:pPr>
        <w:ind w:right="-2"/>
        <w:jc w:val="center"/>
        <w:rPr>
          <w:b/>
        </w:rPr>
      </w:pPr>
    </w:p>
    <w:p w:rsidR="004762DB" w:rsidRPr="005473E2" w:rsidRDefault="004762DB" w:rsidP="004C1BE3">
      <w:pPr>
        <w:ind w:right="-2"/>
        <w:jc w:val="center"/>
        <w:rPr>
          <w:b/>
        </w:rPr>
      </w:pPr>
      <w:r w:rsidRPr="005473E2">
        <w:rPr>
          <w:noProof/>
        </w:rPr>
        <w:drawing>
          <wp:inline distT="0" distB="0" distL="0" distR="0" wp14:anchorId="7B3491DA" wp14:editId="2ACC4059">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Pr="005473E2" w:rsidRDefault="004C1BE3" w:rsidP="00652B2C">
      <w:pPr>
        <w:ind w:right="-2"/>
        <w:jc w:val="center"/>
        <w:rPr>
          <w:b/>
          <w:sz w:val="28"/>
        </w:rPr>
      </w:pPr>
    </w:p>
    <w:p w:rsidR="00652B2C" w:rsidRPr="005473E2" w:rsidRDefault="00652B2C" w:rsidP="003B6DBF">
      <w:pPr>
        <w:shd w:val="clear" w:color="auto" w:fill="FFFFFF" w:themeFill="background1"/>
        <w:ind w:right="-2"/>
        <w:jc w:val="center"/>
        <w:rPr>
          <w:b/>
          <w:sz w:val="28"/>
        </w:rPr>
      </w:pPr>
      <w:proofErr w:type="gramStart"/>
      <w:r w:rsidRPr="005473E2">
        <w:rPr>
          <w:b/>
          <w:sz w:val="28"/>
        </w:rPr>
        <w:t>АДМИНИСТРАЦИЯ  ГОРОДСКОГО</w:t>
      </w:r>
      <w:proofErr w:type="gramEnd"/>
      <w:r w:rsidRPr="005473E2">
        <w:rPr>
          <w:b/>
          <w:sz w:val="28"/>
        </w:rPr>
        <w:t xml:space="preserve"> ОКРУГА ЭЛЕКТРОСТАЛЬ</w:t>
      </w:r>
    </w:p>
    <w:p w:rsidR="00652B2C" w:rsidRPr="005473E2" w:rsidRDefault="00652B2C" w:rsidP="003B6DBF">
      <w:pPr>
        <w:shd w:val="clear" w:color="auto" w:fill="FFFFFF" w:themeFill="background1"/>
        <w:ind w:right="-2"/>
        <w:jc w:val="center"/>
        <w:rPr>
          <w:b/>
          <w:sz w:val="12"/>
          <w:szCs w:val="12"/>
        </w:rPr>
      </w:pPr>
    </w:p>
    <w:p w:rsidR="00652B2C" w:rsidRPr="005473E2" w:rsidRDefault="00652B2C" w:rsidP="003B6DBF">
      <w:pPr>
        <w:shd w:val="clear" w:color="auto" w:fill="FFFFFF" w:themeFill="background1"/>
        <w:ind w:right="-2"/>
        <w:jc w:val="center"/>
        <w:rPr>
          <w:b/>
          <w:sz w:val="28"/>
        </w:rPr>
      </w:pPr>
      <w:r w:rsidRPr="005473E2">
        <w:rPr>
          <w:b/>
          <w:sz w:val="28"/>
        </w:rPr>
        <w:t>МОСКОВСКОЙ   ОБЛАСТИ</w:t>
      </w:r>
    </w:p>
    <w:p w:rsidR="00652B2C" w:rsidRPr="005473E2" w:rsidRDefault="00652B2C" w:rsidP="003B6DBF">
      <w:pPr>
        <w:shd w:val="clear" w:color="auto" w:fill="FFFFFF" w:themeFill="background1"/>
        <w:ind w:right="-2" w:firstLine="1701"/>
        <w:jc w:val="center"/>
        <w:rPr>
          <w:sz w:val="16"/>
          <w:szCs w:val="16"/>
        </w:rPr>
      </w:pPr>
    </w:p>
    <w:p w:rsidR="00652B2C" w:rsidRPr="0038104A" w:rsidRDefault="00652B2C" w:rsidP="003B6DBF">
      <w:pPr>
        <w:shd w:val="clear" w:color="auto" w:fill="FFFFFF" w:themeFill="background1"/>
        <w:ind w:right="-2"/>
        <w:jc w:val="center"/>
        <w:rPr>
          <w:sz w:val="44"/>
        </w:rPr>
      </w:pPr>
      <w:bookmarkStart w:id="0" w:name="_GoBack"/>
      <w:r w:rsidRPr="0038104A">
        <w:rPr>
          <w:sz w:val="44"/>
        </w:rPr>
        <w:t>ПОСТАНОВЛЕНИЕ</w:t>
      </w:r>
    </w:p>
    <w:p w:rsidR="00652B2C" w:rsidRPr="0038104A" w:rsidRDefault="00652B2C" w:rsidP="00652B2C">
      <w:pPr>
        <w:ind w:right="-2"/>
        <w:jc w:val="center"/>
      </w:pPr>
    </w:p>
    <w:p w:rsidR="00652B2C" w:rsidRPr="0038104A" w:rsidRDefault="00652B2C" w:rsidP="00652B2C">
      <w:pPr>
        <w:ind w:right="-2"/>
        <w:jc w:val="center"/>
      </w:pPr>
    </w:p>
    <w:p w:rsidR="00652B2C" w:rsidRPr="00CC4AEE" w:rsidRDefault="00E412B7" w:rsidP="00652B2C">
      <w:pPr>
        <w:ind w:right="-2"/>
        <w:jc w:val="center"/>
        <w:outlineLvl w:val="0"/>
        <w:rPr>
          <w:color w:val="FFFFFF" w:themeColor="background1"/>
        </w:rPr>
      </w:pPr>
      <w:r w:rsidRPr="0038104A">
        <w:t>08.11.2023</w:t>
      </w:r>
      <w:r w:rsidR="0038104A">
        <w:t xml:space="preserve"> </w:t>
      </w:r>
      <w:r w:rsidR="00652B2C" w:rsidRPr="005473E2">
        <w:t xml:space="preserve">№ </w:t>
      </w:r>
      <w:r w:rsidRPr="0038104A">
        <w:t>1489/11</w:t>
      </w:r>
    </w:p>
    <w:p w:rsidR="001C5AD2" w:rsidRDefault="001C5AD2" w:rsidP="00652B2C">
      <w:pPr>
        <w:outlineLvl w:val="0"/>
      </w:pPr>
    </w:p>
    <w:p w:rsidR="0038104A" w:rsidRPr="005473E2" w:rsidRDefault="0038104A" w:rsidP="00652B2C">
      <w:pPr>
        <w:outlineLvl w:val="0"/>
      </w:pPr>
    </w:p>
    <w:p w:rsidR="00842C78" w:rsidRPr="005473E2" w:rsidRDefault="00842C78" w:rsidP="0038104A">
      <w:pPr>
        <w:spacing w:line="240" w:lineRule="exact"/>
        <w:jc w:val="center"/>
        <w:rPr>
          <w:rFonts w:cs="Times New Roman"/>
        </w:rPr>
      </w:pPr>
      <w:r w:rsidRPr="005473E2">
        <w:rPr>
          <w:rFonts w:cs="Times New Roman"/>
        </w:rPr>
        <w:t>О прогнозе социально-экономического развития</w:t>
      </w:r>
      <w:r w:rsidR="0038104A">
        <w:rPr>
          <w:rFonts w:cs="Times New Roman"/>
        </w:rPr>
        <w:t xml:space="preserve"> </w:t>
      </w:r>
      <w:r w:rsidRPr="005473E2">
        <w:rPr>
          <w:rFonts w:cs="Times New Roman"/>
        </w:rPr>
        <w:t>городского округа Электросталь Московской области на 202</w:t>
      </w:r>
      <w:r w:rsidR="00CC0F2D" w:rsidRPr="005473E2">
        <w:rPr>
          <w:rFonts w:cs="Times New Roman"/>
        </w:rPr>
        <w:t>4</w:t>
      </w:r>
      <w:r w:rsidRPr="005473E2">
        <w:rPr>
          <w:rFonts w:cs="Times New Roman"/>
        </w:rPr>
        <w:t>-202</w:t>
      </w:r>
      <w:r w:rsidR="00CC0F2D" w:rsidRPr="005473E2">
        <w:rPr>
          <w:rFonts w:cs="Times New Roman"/>
        </w:rPr>
        <w:t>6</w:t>
      </w:r>
      <w:r w:rsidRPr="005473E2">
        <w:rPr>
          <w:rFonts w:cs="Times New Roman"/>
        </w:rPr>
        <w:t xml:space="preserve"> годы</w:t>
      </w:r>
      <w:bookmarkEnd w:id="0"/>
    </w:p>
    <w:p w:rsidR="00842C78" w:rsidRDefault="00842C78" w:rsidP="0038104A">
      <w:pPr>
        <w:tabs>
          <w:tab w:val="center" w:pos="4677"/>
        </w:tabs>
        <w:jc w:val="both"/>
        <w:rPr>
          <w:rFonts w:cs="Times New Roman"/>
        </w:rPr>
      </w:pPr>
    </w:p>
    <w:p w:rsidR="0038104A" w:rsidRPr="005473E2" w:rsidRDefault="0038104A" w:rsidP="0038104A">
      <w:pPr>
        <w:tabs>
          <w:tab w:val="center" w:pos="4677"/>
        </w:tabs>
        <w:jc w:val="both"/>
        <w:rPr>
          <w:rFonts w:cs="Times New Roman"/>
        </w:rPr>
      </w:pPr>
    </w:p>
    <w:p w:rsidR="00842C78" w:rsidRPr="005473E2" w:rsidRDefault="00842C78" w:rsidP="00842C78">
      <w:pPr>
        <w:tabs>
          <w:tab w:val="left" w:pos="0"/>
        </w:tabs>
        <w:autoSpaceDE w:val="0"/>
        <w:autoSpaceDN w:val="0"/>
        <w:adjustRightInd w:val="0"/>
        <w:ind w:firstLine="567"/>
        <w:jc w:val="both"/>
        <w:rPr>
          <w:rFonts w:cs="Times New Roman"/>
          <w:kern w:val="16"/>
        </w:rPr>
      </w:pPr>
      <w:r w:rsidRPr="005473E2">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w:t>
      </w:r>
      <w:r w:rsidR="00CA1FF1" w:rsidRPr="005473E2">
        <w:rPr>
          <w:rFonts w:cs="Times New Roman"/>
        </w:rPr>
        <w:t>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Pr="005473E2">
        <w:rPr>
          <w:rFonts w:cs="Times New Roman"/>
        </w:rPr>
        <w:t xml:space="preserve"> </w:t>
      </w:r>
      <w:r w:rsidRPr="005473E2">
        <w:rPr>
          <w:rFonts w:cs="Times New Roman"/>
          <w:kern w:val="16"/>
        </w:rPr>
        <w:t xml:space="preserve">Администрация </w:t>
      </w:r>
      <w:r w:rsidRPr="005473E2">
        <w:rPr>
          <w:rFonts w:cs="Times New Roman"/>
        </w:rPr>
        <w:t>городского округа Электросталь Московской области ПОСТАНОВЛЯЕТ:</w:t>
      </w:r>
    </w:p>
    <w:p w:rsidR="00842C78" w:rsidRPr="005473E2" w:rsidRDefault="00842C78" w:rsidP="00842C78">
      <w:pPr>
        <w:pStyle w:val="ConsPlusNormal"/>
        <w:tabs>
          <w:tab w:val="left" w:pos="0"/>
        </w:tabs>
        <w:ind w:firstLine="567"/>
        <w:jc w:val="both"/>
        <w:rPr>
          <w:rFonts w:ascii="Times New Roman" w:hAnsi="Times New Roman" w:cs="Times New Roman"/>
          <w:sz w:val="24"/>
          <w:szCs w:val="24"/>
        </w:rPr>
      </w:pPr>
      <w:r w:rsidRPr="005473E2">
        <w:rPr>
          <w:rFonts w:ascii="Times New Roman" w:hAnsi="Times New Roman" w:cs="Times New Roman"/>
          <w:sz w:val="24"/>
          <w:szCs w:val="24"/>
        </w:rPr>
        <w:t xml:space="preserve">1. Одобрить прогноз социально-экономического развития городского округа Электросталь Московской области на </w:t>
      </w:r>
      <w:r w:rsidR="003D68C2" w:rsidRPr="005473E2">
        <w:rPr>
          <w:rFonts w:ascii="Times New Roman" w:hAnsi="Times New Roman" w:cs="Times New Roman"/>
          <w:sz w:val="24"/>
          <w:szCs w:val="24"/>
        </w:rPr>
        <w:t>202</w:t>
      </w:r>
      <w:r w:rsidR="00CC0F2D" w:rsidRPr="005473E2">
        <w:rPr>
          <w:rFonts w:ascii="Times New Roman" w:hAnsi="Times New Roman" w:cs="Times New Roman"/>
          <w:sz w:val="24"/>
          <w:szCs w:val="24"/>
        </w:rPr>
        <w:t>4</w:t>
      </w:r>
      <w:r w:rsidR="003D68C2" w:rsidRPr="005473E2">
        <w:rPr>
          <w:rFonts w:ascii="Times New Roman" w:hAnsi="Times New Roman" w:cs="Times New Roman"/>
          <w:sz w:val="24"/>
          <w:szCs w:val="24"/>
        </w:rPr>
        <w:t>-202</w:t>
      </w:r>
      <w:r w:rsidR="00CC0F2D" w:rsidRPr="005473E2">
        <w:rPr>
          <w:rFonts w:ascii="Times New Roman" w:hAnsi="Times New Roman" w:cs="Times New Roman"/>
          <w:sz w:val="24"/>
          <w:szCs w:val="24"/>
        </w:rPr>
        <w:t>6</w:t>
      </w:r>
      <w:r w:rsidR="003D68C2" w:rsidRPr="005473E2">
        <w:rPr>
          <w:rFonts w:ascii="Times New Roman" w:hAnsi="Times New Roman" w:cs="Times New Roman"/>
          <w:sz w:val="24"/>
          <w:szCs w:val="24"/>
        </w:rPr>
        <w:t xml:space="preserve"> </w:t>
      </w:r>
      <w:r w:rsidRPr="005473E2">
        <w:rPr>
          <w:rFonts w:ascii="Times New Roman" w:hAnsi="Times New Roman" w:cs="Times New Roman"/>
          <w:sz w:val="24"/>
          <w:szCs w:val="24"/>
        </w:rPr>
        <w:t xml:space="preserve">годы согласно </w:t>
      </w:r>
      <w:proofErr w:type="gramStart"/>
      <w:r w:rsidRPr="005473E2">
        <w:rPr>
          <w:rFonts w:ascii="Times New Roman" w:hAnsi="Times New Roman" w:cs="Times New Roman"/>
          <w:sz w:val="24"/>
          <w:szCs w:val="24"/>
        </w:rPr>
        <w:t>приложению</w:t>
      </w:r>
      <w:proofErr w:type="gramEnd"/>
      <w:r w:rsidRPr="005473E2">
        <w:rPr>
          <w:rFonts w:ascii="Times New Roman" w:hAnsi="Times New Roman" w:cs="Times New Roman"/>
          <w:sz w:val="24"/>
          <w:szCs w:val="24"/>
        </w:rPr>
        <w:t xml:space="preserve"> к настоящему постановлению.</w:t>
      </w:r>
    </w:p>
    <w:p w:rsidR="00842C78" w:rsidRPr="005473E2" w:rsidRDefault="00842C78" w:rsidP="00842C78">
      <w:pPr>
        <w:pStyle w:val="a3"/>
        <w:tabs>
          <w:tab w:val="left" w:pos="0"/>
        </w:tabs>
        <w:ind w:left="0" w:firstLine="567"/>
        <w:jc w:val="both"/>
      </w:pPr>
      <w:r w:rsidRPr="005473E2">
        <w:t>2. 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CC0F2D" w:rsidRPr="005473E2">
        <w:t>4</w:t>
      </w:r>
      <w:r w:rsidRPr="005473E2">
        <w:t xml:space="preserve"> год и на плановый </w:t>
      </w:r>
      <w:proofErr w:type="gramStart"/>
      <w:r w:rsidRPr="005473E2">
        <w:t>период  202</w:t>
      </w:r>
      <w:r w:rsidR="00CC0F2D" w:rsidRPr="005473E2">
        <w:t>5</w:t>
      </w:r>
      <w:proofErr w:type="gramEnd"/>
      <w:r w:rsidR="003D68C2" w:rsidRPr="005473E2">
        <w:t xml:space="preserve"> и 202</w:t>
      </w:r>
      <w:r w:rsidR="00CC0F2D" w:rsidRPr="005473E2">
        <w:t>6</w:t>
      </w:r>
      <w:r w:rsidRPr="005473E2">
        <w:t xml:space="preserve"> годов на основе прогноза социально-экономического развития городского округа Электросталь Московской области на 202</w:t>
      </w:r>
      <w:r w:rsidR="00CC0F2D" w:rsidRPr="005473E2">
        <w:t>4</w:t>
      </w:r>
      <w:r w:rsidR="003D68C2" w:rsidRPr="005473E2">
        <w:t>-202</w:t>
      </w:r>
      <w:r w:rsidR="00CC0F2D" w:rsidRPr="005473E2">
        <w:t>6</w:t>
      </w:r>
      <w:r w:rsidRPr="005473E2">
        <w:t xml:space="preserve"> годы.</w:t>
      </w:r>
    </w:p>
    <w:p w:rsidR="00842C78" w:rsidRPr="005473E2" w:rsidRDefault="00842C78" w:rsidP="00842C78">
      <w:pPr>
        <w:pStyle w:val="a3"/>
        <w:tabs>
          <w:tab w:val="left" w:pos="0"/>
        </w:tabs>
        <w:ind w:left="0" w:firstLine="567"/>
        <w:jc w:val="both"/>
      </w:pPr>
      <w:r w:rsidRPr="005473E2">
        <w:t xml:space="preserve">3. Представить прогноз социально-экономического развития городского округа Электросталь Московской </w:t>
      </w:r>
      <w:proofErr w:type="gramStart"/>
      <w:r w:rsidRPr="005473E2">
        <w:t>области  на</w:t>
      </w:r>
      <w:proofErr w:type="gramEnd"/>
      <w:r w:rsidRPr="005473E2">
        <w:t xml:space="preserve"> 202</w:t>
      </w:r>
      <w:r w:rsidR="00CC0F2D" w:rsidRPr="005473E2">
        <w:t>4</w:t>
      </w:r>
      <w:r w:rsidR="003D68C2" w:rsidRPr="005473E2">
        <w:t>-202</w:t>
      </w:r>
      <w:r w:rsidR="00CC0F2D" w:rsidRPr="005473E2">
        <w:t>6</w:t>
      </w:r>
      <w:r w:rsidRPr="005473E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CC0F2D" w:rsidRPr="005473E2">
        <w:t>4</w:t>
      </w:r>
      <w:r w:rsidRPr="005473E2">
        <w:t xml:space="preserve"> год и на плановый период  202</w:t>
      </w:r>
      <w:r w:rsidR="00CC0F2D" w:rsidRPr="005473E2">
        <w:t>5</w:t>
      </w:r>
      <w:r w:rsidR="00323EBF" w:rsidRPr="005473E2">
        <w:t xml:space="preserve">  и 202</w:t>
      </w:r>
      <w:r w:rsidR="00CC0F2D" w:rsidRPr="005473E2">
        <w:t>6</w:t>
      </w:r>
      <w:r w:rsidRPr="005473E2">
        <w:t xml:space="preserve"> годов».</w:t>
      </w:r>
    </w:p>
    <w:p w:rsidR="00842C78" w:rsidRPr="005473E2" w:rsidRDefault="00842C78" w:rsidP="00842C78">
      <w:pPr>
        <w:pStyle w:val="a3"/>
        <w:tabs>
          <w:tab w:val="left" w:pos="0"/>
        </w:tabs>
        <w:ind w:left="0" w:firstLine="567"/>
        <w:jc w:val="both"/>
      </w:pPr>
      <w:r w:rsidRPr="005473E2">
        <w:t xml:space="preserve">4. </w:t>
      </w:r>
      <w:r w:rsidR="00CC0F2D" w:rsidRPr="005473E2">
        <w:rPr>
          <w:rFonts w:cs="Arial"/>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00CC0F2D" w:rsidRPr="005473E2">
          <w:rPr>
            <w:rFonts w:cs="Arial"/>
          </w:rPr>
          <w:t>www.electrostal.ru</w:t>
        </w:r>
      </w:hyperlink>
      <w:r w:rsidRPr="005473E2">
        <w:t>.</w:t>
      </w:r>
    </w:p>
    <w:p w:rsidR="005C2ABC" w:rsidRPr="005473E2" w:rsidRDefault="005C2ABC" w:rsidP="005C2ABC">
      <w:pPr>
        <w:pStyle w:val="a3"/>
        <w:tabs>
          <w:tab w:val="left" w:pos="0"/>
        </w:tabs>
        <w:autoSpaceDE w:val="0"/>
        <w:autoSpaceDN w:val="0"/>
        <w:adjustRightInd w:val="0"/>
        <w:ind w:left="0" w:firstLine="567"/>
        <w:jc w:val="both"/>
      </w:pPr>
      <w:r w:rsidRPr="005473E2">
        <w:t>5. Настоящее постановление вступает в силу со дня его подписания.</w:t>
      </w:r>
    </w:p>
    <w:p w:rsidR="00842C78" w:rsidRPr="005473E2" w:rsidRDefault="005C2ABC" w:rsidP="00842C78">
      <w:pPr>
        <w:pStyle w:val="a3"/>
        <w:tabs>
          <w:tab w:val="left" w:pos="0"/>
        </w:tabs>
        <w:autoSpaceDE w:val="0"/>
        <w:autoSpaceDN w:val="0"/>
        <w:adjustRightInd w:val="0"/>
        <w:ind w:left="0" w:firstLine="567"/>
        <w:jc w:val="both"/>
      </w:pPr>
      <w:r w:rsidRPr="005473E2">
        <w:t>6</w:t>
      </w:r>
      <w:r w:rsidR="00842C78" w:rsidRPr="005473E2">
        <w:t xml:space="preserve">. Контроль за </w:t>
      </w:r>
      <w:r w:rsidR="00BD10AF" w:rsidRPr="005473E2">
        <w:t>ис</w:t>
      </w:r>
      <w:r w:rsidR="00842C78" w:rsidRPr="005473E2">
        <w:t xml:space="preserve">полнением настоящего постановления </w:t>
      </w:r>
      <w:r w:rsidR="000528DF">
        <w:t>возлагаю на себя.</w:t>
      </w:r>
    </w:p>
    <w:p w:rsidR="00842C78" w:rsidRDefault="00842C78" w:rsidP="0038104A">
      <w:pPr>
        <w:jc w:val="both"/>
      </w:pPr>
    </w:p>
    <w:p w:rsidR="0038104A" w:rsidRPr="005473E2" w:rsidRDefault="0038104A" w:rsidP="0038104A">
      <w:pPr>
        <w:jc w:val="both"/>
      </w:pPr>
    </w:p>
    <w:p w:rsidR="00842C78" w:rsidRPr="005473E2" w:rsidRDefault="00842C78" w:rsidP="00842C78">
      <w:pPr>
        <w:jc w:val="both"/>
      </w:pPr>
    </w:p>
    <w:p w:rsidR="00842C78" w:rsidRDefault="000528DF" w:rsidP="00842C78">
      <w:pPr>
        <w:pStyle w:val="af"/>
        <w:spacing w:after="0"/>
        <w:ind w:left="0"/>
        <w:rPr>
          <w:rFonts w:cs="Times New Roman"/>
        </w:rPr>
      </w:pPr>
      <w:r>
        <w:rPr>
          <w:rFonts w:cs="Times New Roman"/>
        </w:rPr>
        <w:t xml:space="preserve">Первый заместитель </w:t>
      </w:r>
      <w:r w:rsidR="007E052F">
        <w:rPr>
          <w:rFonts w:cs="Times New Roman"/>
        </w:rPr>
        <w:t>Г</w:t>
      </w:r>
      <w:r>
        <w:rPr>
          <w:rFonts w:cs="Times New Roman"/>
        </w:rPr>
        <w:t>лавы</w:t>
      </w:r>
    </w:p>
    <w:p w:rsidR="000528DF" w:rsidRDefault="000528DF" w:rsidP="0038104A">
      <w:pPr>
        <w:pStyle w:val="af"/>
        <w:spacing w:after="0"/>
        <w:ind w:left="0"/>
        <w:rPr>
          <w:rFonts w:cs="Times New Roman"/>
        </w:rPr>
      </w:pPr>
      <w:r>
        <w:rPr>
          <w:rFonts w:cs="Times New Roman"/>
        </w:rPr>
        <w:t xml:space="preserve">Администрации городского округа                                                                   </w:t>
      </w:r>
      <w:proofErr w:type="spellStart"/>
      <w:r>
        <w:rPr>
          <w:rFonts w:cs="Times New Roman"/>
        </w:rPr>
        <w:t>О.В.Печникова</w:t>
      </w:r>
      <w:proofErr w:type="spellEnd"/>
    </w:p>
    <w:p w:rsidR="000528DF" w:rsidRDefault="000528DF" w:rsidP="00842C78">
      <w:pPr>
        <w:pStyle w:val="af"/>
        <w:spacing w:after="0"/>
        <w:ind w:left="0"/>
        <w:rPr>
          <w:rFonts w:cs="Times New Roman"/>
        </w:rPr>
        <w:sectPr w:rsidR="000528DF" w:rsidSect="000A3C7B">
          <w:headerReference w:type="default" r:id="rId10"/>
          <w:headerReference w:type="first" r:id="rId11"/>
          <w:pgSz w:w="11906" w:h="16838"/>
          <w:pgMar w:top="1134" w:right="850" w:bottom="1134" w:left="1701" w:header="708" w:footer="708" w:gutter="0"/>
          <w:cols w:space="708"/>
          <w:titlePg/>
          <w:docGrid w:linePitch="360"/>
        </w:sectPr>
      </w:pPr>
    </w:p>
    <w:tbl>
      <w:tblPr>
        <w:tblpPr w:leftFromText="180" w:rightFromText="180" w:vertAnchor="page" w:horzAnchor="page" w:tblpX="7216" w:tblpY="706"/>
        <w:tblW w:w="0" w:type="auto"/>
        <w:tblLook w:val="04A0" w:firstRow="1" w:lastRow="0" w:firstColumn="1" w:lastColumn="0" w:noHBand="0" w:noVBand="1"/>
      </w:tblPr>
      <w:tblGrid>
        <w:gridCol w:w="4653"/>
        <w:gridCol w:w="4702"/>
      </w:tblGrid>
      <w:tr w:rsidR="000528DF" w:rsidRPr="005473E2" w:rsidTr="000528DF">
        <w:tc>
          <w:tcPr>
            <w:tcW w:w="4653" w:type="dxa"/>
          </w:tcPr>
          <w:p w:rsidR="000528DF" w:rsidRPr="005473E2" w:rsidRDefault="000528DF" w:rsidP="000528DF"/>
          <w:p w:rsidR="000528DF" w:rsidRPr="005473E2" w:rsidRDefault="000528DF" w:rsidP="000528DF"/>
        </w:tc>
        <w:tc>
          <w:tcPr>
            <w:tcW w:w="4702" w:type="dxa"/>
          </w:tcPr>
          <w:p w:rsidR="00C1744C" w:rsidRDefault="00C1744C" w:rsidP="000528DF"/>
          <w:p w:rsidR="00C1744C" w:rsidRDefault="00C1744C" w:rsidP="000528DF"/>
          <w:p w:rsidR="00C1744C" w:rsidRDefault="00C1744C" w:rsidP="000528DF"/>
          <w:p w:rsidR="000528DF" w:rsidRPr="005473E2" w:rsidRDefault="0038104A" w:rsidP="000528DF">
            <w:r>
              <w:t>Приложение</w:t>
            </w:r>
          </w:p>
          <w:p w:rsidR="000528DF" w:rsidRPr="005473E2" w:rsidRDefault="000528DF" w:rsidP="000528DF">
            <w:r w:rsidRPr="005473E2">
              <w:t xml:space="preserve">к постановлению </w:t>
            </w:r>
            <w:proofErr w:type="gramStart"/>
            <w:r w:rsidRPr="005473E2">
              <w:t>Администрации  городского</w:t>
            </w:r>
            <w:proofErr w:type="gramEnd"/>
            <w:r w:rsidRPr="005473E2">
              <w:t xml:space="preserve"> округа Электросталь Московской области</w:t>
            </w:r>
          </w:p>
          <w:p w:rsidR="000528DF" w:rsidRPr="005473E2" w:rsidRDefault="000528DF" w:rsidP="00E412B7">
            <w:r w:rsidRPr="005473E2">
              <w:t xml:space="preserve">от </w:t>
            </w:r>
            <w:r w:rsidR="0038104A" w:rsidRPr="0038104A">
              <w:t>08.11.2023</w:t>
            </w:r>
            <w:r w:rsidR="0038104A">
              <w:t xml:space="preserve"> </w:t>
            </w:r>
            <w:r w:rsidR="0038104A" w:rsidRPr="005473E2">
              <w:t xml:space="preserve">№ </w:t>
            </w:r>
            <w:r w:rsidR="0038104A" w:rsidRPr="0038104A">
              <w:t>1489/11</w:t>
            </w:r>
          </w:p>
        </w:tc>
      </w:tr>
    </w:tbl>
    <w:p w:rsidR="000528DF" w:rsidRPr="005473E2" w:rsidRDefault="000528DF" w:rsidP="00842C78">
      <w:pPr>
        <w:pStyle w:val="af"/>
        <w:spacing w:after="0"/>
        <w:ind w:left="0"/>
        <w:rPr>
          <w:rFonts w:cs="Times New Roman"/>
        </w:rPr>
      </w:pPr>
    </w:p>
    <w:p w:rsidR="00842C78" w:rsidRPr="005473E2" w:rsidRDefault="00842C78" w:rsidP="00842C78">
      <w:pPr>
        <w:pStyle w:val="af"/>
        <w:spacing w:after="0"/>
        <w:rPr>
          <w:rFonts w:cs="Times New Roman"/>
        </w:rPr>
      </w:pPr>
    </w:p>
    <w:p w:rsidR="00CA1FF1" w:rsidRPr="005473E2" w:rsidRDefault="00CA1FF1" w:rsidP="00CA1FF1">
      <w:pPr>
        <w:shd w:val="clear" w:color="auto" w:fill="FFFFFF" w:themeFill="background1"/>
        <w:ind w:right="-2"/>
        <w:jc w:val="center"/>
        <w:rPr>
          <w:b/>
          <w:sz w:val="28"/>
        </w:rPr>
      </w:pPr>
    </w:p>
    <w:p w:rsidR="008270DC" w:rsidRPr="005473E2" w:rsidRDefault="008270DC" w:rsidP="008270DC">
      <w:pPr>
        <w:ind w:firstLine="567"/>
        <w:jc w:val="both"/>
      </w:pPr>
    </w:p>
    <w:p w:rsidR="00C1744C" w:rsidRDefault="00C1744C" w:rsidP="000528DF">
      <w:pPr>
        <w:jc w:val="center"/>
        <w:rPr>
          <w:rFonts w:cs="Times New Roman"/>
          <w:b/>
        </w:rPr>
      </w:pPr>
    </w:p>
    <w:p w:rsidR="00C1744C" w:rsidRDefault="00C1744C" w:rsidP="000528DF">
      <w:pPr>
        <w:jc w:val="center"/>
        <w:rPr>
          <w:rFonts w:cs="Times New Roman"/>
          <w:b/>
        </w:rPr>
      </w:pPr>
    </w:p>
    <w:p w:rsidR="00C1744C" w:rsidRDefault="00C1744C" w:rsidP="000528DF">
      <w:pPr>
        <w:jc w:val="center"/>
        <w:rPr>
          <w:rFonts w:cs="Times New Roman"/>
          <w:b/>
        </w:rPr>
      </w:pPr>
    </w:p>
    <w:p w:rsidR="000528DF" w:rsidRPr="005473E2" w:rsidRDefault="00C1744C" w:rsidP="00C1744C">
      <w:pPr>
        <w:tabs>
          <w:tab w:val="center" w:pos="7426"/>
          <w:tab w:val="left" w:pos="10440"/>
        </w:tabs>
        <w:rPr>
          <w:rFonts w:cs="Times New Roman"/>
          <w:b/>
        </w:rPr>
      </w:pPr>
      <w:r>
        <w:rPr>
          <w:rFonts w:cs="Times New Roman"/>
          <w:b/>
        </w:rPr>
        <w:tab/>
      </w:r>
      <w:r w:rsidR="000528DF" w:rsidRPr="005473E2">
        <w:rPr>
          <w:rFonts w:cs="Times New Roman"/>
          <w:b/>
        </w:rPr>
        <w:t xml:space="preserve">Прогноз социально-экономического развития </w:t>
      </w:r>
    </w:p>
    <w:p w:rsidR="000528DF" w:rsidRDefault="000528DF" w:rsidP="000528DF">
      <w:pPr>
        <w:jc w:val="center"/>
        <w:rPr>
          <w:rFonts w:cs="Times New Roman"/>
          <w:b/>
        </w:rPr>
      </w:pPr>
      <w:r w:rsidRPr="005473E2">
        <w:rPr>
          <w:rFonts w:cs="Times New Roman"/>
          <w:b/>
        </w:rPr>
        <w:t>городского округа Электросталь Московской области на 2024-2026 годы</w:t>
      </w:r>
    </w:p>
    <w:p w:rsidR="00C1744C" w:rsidRDefault="00C1744C" w:rsidP="000528DF">
      <w:pPr>
        <w:jc w:val="center"/>
        <w:rPr>
          <w:rFonts w:cs="Times New Roman"/>
          <w:b/>
        </w:rPr>
      </w:pPr>
    </w:p>
    <w:p w:rsidR="00C1744C" w:rsidRPr="00C1744C" w:rsidRDefault="00C1744C" w:rsidP="00C1744C">
      <w:pPr>
        <w:pStyle w:val="a3"/>
        <w:numPr>
          <w:ilvl w:val="0"/>
          <w:numId w:val="5"/>
        </w:numPr>
        <w:jc w:val="center"/>
        <w:rPr>
          <w:b/>
        </w:rPr>
      </w:pPr>
      <w:r w:rsidRPr="00C1744C">
        <w:rPr>
          <w:b/>
        </w:rPr>
        <w:t xml:space="preserve">Показатели прогноза социально экономического развития </w:t>
      </w:r>
    </w:p>
    <w:p w:rsidR="00C1744C" w:rsidRPr="00C1744C" w:rsidRDefault="00C1744C" w:rsidP="00C1744C">
      <w:pPr>
        <w:pStyle w:val="a3"/>
        <w:jc w:val="center"/>
        <w:rPr>
          <w:b/>
        </w:rPr>
      </w:pPr>
      <w:r w:rsidRPr="00C1744C">
        <w:rPr>
          <w:b/>
        </w:rPr>
        <w:t>городского округа Электросталь Московской области на 2024-2026 годы</w:t>
      </w:r>
    </w:p>
    <w:p w:rsidR="008270DC" w:rsidRDefault="008270DC" w:rsidP="006D7CCF">
      <w:pPr>
        <w:ind w:firstLine="567"/>
        <w:jc w:val="both"/>
        <w:rPr>
          <w:rFonts w:cs="Times New Roman"/>
        </w:rPr>
      </w:pPr>
    </w:p>
    <w:tbl>
      <w:tblPr>
        <w:tblW w:w="15871" w:type="dxa"/>
        <w:tblInd w:w="-289" w:type="dxa"/>
        <w:tblLayout w:type="fixed"/>
        <w:tblLook w:val="04A0" w:firstRow="1" w:lastRow="0" w:firstColumn="1" w:lastColumn="0" w:noHBand="0" w:noVBand="1"/>
      </w:tblPr>
      <w:tblGrid>
        <w:gridCol w:w="3964"/>
        <w:gridCol w:w="1559"/>
        <w:gridCol w:w="993"/>
        <w:gridCol w:w="1134"/>
        <w:gridCol w:w="1134"/>
        <w:gridCol w:w="1134"/>
        <w:gridCol w:w="1134"/>
        <w:gridCol w:w="1134"/>
        <w:gridCol w:w="1275"/>
        <w:gridCol w:w="1134"/>
        <w:gridCol w:w="1276"/>
      </w:tblGrid>
      <w:tr w:rsidR="00C1744C" w:rsidRPr="005473E2" w:rsidTr="00C1744C">
        <w:trPr>
          <w:trHeight w:val="330"/>
        </w:trPr>
        <w:tc>
          <w:tcPr>
            <w:tcW w:w="3964"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t>Наименование показателя</w:t>
            </w:r>
          </w:p>
        </w:tc>
        <w:tc>
          <w:tcPr>
            <w:tcW w:w="1559"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Единица измерения</w:t>
            </w:r>
          </w:p>
        </w:tc>
        <w:tc>
          <w:tcPr>
            <w:tcW w:w="2127" w:type="dxa"/>
            <w:gridSpan w:val="2"/>
            <w:tcBorders>
              <w:top w:val="single" w:sz="4" w:space="0" w:color="C0C0C0"/>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Отчет</w:t>
            </w:r>
          </w:p>
        </w:tc>
        <w:tc>
          <w:tcPr>
            <w:tcW w:w="1134" w:type="dxa"/>
            <w:tcBorders>
              <w:top w:val="single" w:sz="4" w:space="0" w:color="C0C0C0"/>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Оценка</w:t>
            </w:r>
          </w:p>
        </w:tc>
        <w:tc>
          <w:tcPr>
            <w:tcW w:w="2268" w:type="dxa"/>
            <w:gridSpan w:val="2"/>
            <w:tcBorders>
              <w:top w:val="single" w:sz="4" w:space="0" w:color="C0C0C0"/>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2024</w:t>
            </w:r>
          </w:p>
        </w:tc>
        <w:tc>
          <w:tcPr>
            <w:tcW w:w="2409" w:type="dxa"/>
            <w:gridSpan w:val="2"/>
            <w:tcBorders>
              <w:top w:val="single" w:sz="4" w:space="0" w:color="C0C0C0"/>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2025</w:t>
            </w:r>
          </w:p>
        </w:tc>
        <w:tc>
          <w:tcPr>
            <w:tcW w:w="2410" w:type="dxa"/>
            <w:gridSpan w:val="2"/>
            <w:tcBorders>
              <w:top w:val="single" w:sz="4" w:space="0" w:color="C0C0C0"/>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2026</w:t>
            </w:r>
          </w:p>
        </w:tc>
      </w:tr>
      <w:tr w:rsidR="00C1744C" w:rsidRPr="005473E2" w:rsidTr="00C1744C">
        <w:trPr>
          <w:trHeight w:val="1050"/>
        </w:trPr>
        <w:tc>
          <w:tcPr>
            <w:tcW w:w="3964" w:type="dxa"/>
            <w:vMerge/>
            <w:tcBorders>
              <w:top w:val="single" w:sz="4" w:space="0" w:color="C0C0C0"/>
              <w:left w:val="single" w:sz="4" w:space="0" w:color="C0C0C0"/>
              <w:bottom w:val="single" w:sz="4" w:space="0" w:color="C0C0C0"/>
              <w:right w:val="single" w:sz="4" w:space="0" w:color="C0C0C0"/>
            </w:tcBorders>
            <w:vAlign w:val="center"/>
            <w:hideMark/>
          </w:tcPr>
          <w:p w:rsidR="00C1744C" w:rsidRPr="005473E2" w:rsidRDefault="00C1744C" w:rsidP="00C1744C">
            <w:pPr>
              <w:rPr>
                <w:rFonts w:cs="Times New Roman"/>
                <w:b/>
                <w:bCs/>
                <w:sz w:val="20"/>
                <w:szCs w:val="20"/>
              </w:rPr>
            </w:pPr>
          </w:p>
        </w:tc>
        <w:tc>
          <w:tcPr>
            <w:tcW w:w="1559" w:type="dxa"/>
            <w:vMerge/>
            <w:tcBorders>
              <w:top w:val="single" w:sz="4" w:space="0" w:color="C0C0C0"/>
              <w:left w:val="single" w:sz="4" w:space="0" w:color="C0C0C0"/>
              <w:bottom w:val="single" w:sz="4" w:space="0" w:color="C0C0C0"/>
              <w:right w:val="single" w:sz="4" w:space="0" w:color="C0C0C0"/>
            </w:tcBorders>
            <w:vAlign w:val="center"/>
            <w:hideMark/>
          </w:tcPr>
          <w:p w:rsidR="00C1744C" w:rsidRPr="005473E2" w:rsidRDefault="00C1744C" w:rsidP="00C1744C">
            <w:pPr>
              <w:rPr>
                <w:rFonts w:cs="Times New Roman"/>
                <w:b/>
                <w:bCs/>
                <w:sz w:val="20"/>
                <w:szCs w:val="20"/>
              </w:rPr>
            </w:pPr>
          </w:p>
        </w:tc>
        <w:tc>
          <w:tcPr>
            <w:tcW w:w="993"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2021</w:t>
            </w:r>
          </w:p>
        </w:tc>
        <w:tc>
          <w:tcPr>
            <w:tcW w:w="1134"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2022</w:t>
            </w:r>
          </w:p>
        </w:tc>
        <w:tc>
          <w:tcPr>
            <w:tcW w:w="1134"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2023</w:t>
            </w:r>
          </w:p>
        </w:tc>
        <w:tc>
          <w:tcPr>
            <w:tcW w:w="1134"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Прогноз вариант 1 (консервативный)</w:t>
            </w:r>
          </w:p>
        </w:tc>
        <w:tc>
          <w:tcPr>
            <w:tcW w:w="1134"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Прогноз вариант 2 (базовый)</w:t>
            </w:r>
          </w:p>
        </w:tc>
        <w:tc>
          <w:tcPr>
            <w:tcW w:w="1134"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Прогноз вариант 1 (консервативный)</w:t>
            </w:r>
          </w:p>
        </w:tc>
        <w:tc>
          <w:tcPr>
            <w:tcW w:w="1275"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Прогноз вариант 2 (базовый)</w:t>
            </w:r>
          </w:p>
        </w:tc>
        <w:tc>
          <w:tcPr>
            <w:tcW w:w="1134"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Прогноз вариант 1 (консервативный)</w:t>
            </w:r>
          </w:p>
        </w:tc>
        <w:tc>
          <w:tcPr>
            <w:tcW w:w="1276"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b/>
                <w:bCs/>
                <w:sz w:val="20"/>
                <w:szCs w:val="20"/>
              </w:rPr>
            </w:pPr>
            <w:r w:rsidRPr="005473E2">
              <w:rPr>
                <w:rFonts w:cs="Times New Roman"/>
                <w:b/>
                <w:bCs/>
                <w:sz w:val="20"/>
                <w:szCs w:val="20"/>
              </w:rPr>
              <w:t>Прогноз вариант 2 (базовый)</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t>1. Демографические показатели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154 701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152 190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150 303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148 441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148 474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146 502</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146 590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144 596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144 756</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Число родившихся</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1 173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1 079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1 144</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1 168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1 150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1 174</w:t>
            </w:r>
          </w:p>
        </w:tc>
      </w:tr>
      <w:tr w:rsidR="00C1744C" w:rsidRPr="005473E2" w:rsidTr="00C1744C">
        <w:trPr>
          <w:trHeight w:val="97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Общий коэффициент рождаемости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число родившихся на 1000 человек населения</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7,8</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8,1</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Число умерших</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2 938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2 156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2 263</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2 239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2 256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2 211</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Общий коэффициент смертности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число умерших на 1000 человек населения</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15,3</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15,2</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Естественный прирост (убыль)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-1 171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-1 025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-999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-1 119</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-1 071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-1 106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-1 037</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Коэффициент естественного прироста (убыли)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на 1000 человек населения</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-7,1</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Миграционный прирост (убыль)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-837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-830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-820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-797</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Общий прирост населения</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-3 627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-2 511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-1 887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-1 829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-1 939</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-1 884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-1 906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-1 834</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(среднегодовая)</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156 515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153 446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151 247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149 372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149 389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147 472</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147 532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145 549</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145 673</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по численности постоянного населения, в том числе в возрасте:</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до 3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4 878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4 260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3 673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3 304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3 310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3 375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3 404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3 383</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3 435</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от 3 до 7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10 675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10 065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9 451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8 616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8 621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7 606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7 611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6 831</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6 836</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от 7 до 17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19 102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19 613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20 145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20 454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20 465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20 474</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20 485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20 190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20 202</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0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1 507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1 066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1 134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1 136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1 136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1 142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1 166</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1 492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1 056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1 125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1 126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1 123</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1 127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1 127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1 151</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2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1 655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1 702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1 483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1 048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1 116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1 117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1 114</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1 118</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3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1 639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1 691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1 473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1 037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1 038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1 107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1 108</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4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1 872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1 627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1 680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1 681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1 462</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1 463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1 027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1 028</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5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2 294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2 025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1 615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1 668</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1 450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1 451</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численность постоянного населения в возрасте 6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1 848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1 603</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1 656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1 657</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7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2 172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2 255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2 262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2 001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2 002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1 836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1 837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1 591</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1 592</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8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2 124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2 215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2 223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1 959</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1 795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1 796</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9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2 041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2 023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2 084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2 175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2 176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2 181</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2 182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1 919</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1 920</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10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1 893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1 997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1 986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2 048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2 137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2 138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2 144</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2 145</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11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1 806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1 962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1 951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1 952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2 011</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2 102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2 103</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12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1 691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1 767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1 818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1 929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1 930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1 917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1 918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1 978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1 979</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13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1 659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1 734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1 786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1 787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1 896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1 897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1 884</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1 885</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14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1 623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1 755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1 756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1 866</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15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1 423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1 594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1 676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1 677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1 726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1 728</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16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1 429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1 567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1 568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1 566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1 567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1 647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1 648</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постоянного населения в возрасте 17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1 398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1 363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1 478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1 479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1 540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1 541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1 539</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1 540</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t>3. Промышленное производство</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55 161,1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72 264,9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113 349,8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107 991,0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118 812,2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109 188,1</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126 042,2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111 454,8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135 081,8</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131,0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101,1</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102,1</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107,2</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Индекс промышленного производства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124,8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97,5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98,5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103,3</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индекс-дефлятор цен</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103,7</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по видам экономической деятельности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Добыча полезных ископаемых</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B</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w:t>
            </w:r>
            <w:proofErr w:type="gramStart"/>
            <w:r w:rsidRPr="005473E2">
              <w:rPr>
                <w:rFonts w:cs="Times New Roman"/>
                <w:sz w:val="20"/>
                <w:szCs w:val="20"/>
              </w:rPr>
              <w:t>в</w:t>
            </w:r>
            <w:proofErr w:type="spellEnd"/>
            <w:r w:rsidRPr="005473E2">
              <w:rPr>
                <w:rFonts w:cs="Times New Roman"/>
                <w:sz w:val="20"/>
                <w:szCs w:val="20"/>
              </w:rPr>
              <w:t xml:space="preserve"> ценах</w:t>
            </w:r>
            <w:proofErr w:type="gramEnd"/>
            <w:r w:rsidRPr="005473E2">
              <w:rPr>
                <w:rFonts w:cs="Times New Roman"/>
                <w:sz w:val="20"/>
                <w:szCs w:val="20"/>
              </w:rPr>
              <w:t xml:space="preserve"> соответствующих </w:t>
            </w:r>
            <w:proofErr w:type="spellStart"/>
            <w:r w:rsidRPr="005473E2">
              <w:rPr>
                <w:rFonts w:cs="Times New Roman"/>
                <w:sz w:val="20"/>
                <w:szCs w:val="20"/>
              </w:rPr>
              <w:t>летт</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 раздел B</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Обрабатывающие производства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C</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51 095,9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68 323,0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109 316,8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103 851,0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114 454,7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104 889,5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121 322,0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106 987,3</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129 935,8</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 раздел C</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133,7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160,0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107,1</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Обеспечение электрической энергией, газом и паром; кондиционирование воздуха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D</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3 161,2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3 006,9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2 950,0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3 040,0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3 103,4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3 158,6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3 267,9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3 297,5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3 464,0</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 раздел D</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95,1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98,1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103,9</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104,4</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106,0</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Водоснабжение; водоотведение, организация сбора и утилизации отходов, деятельность по ликвидации загрязнений</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Объем отгруженных товаров собственного производства, выполненных работ и услуг собственными силами </w:t>
            </w:r>
            <w:proofErr w:type="gramStart"/>
            <w:r w:rsidRPr="005473E2">
              <w:rPr>
                <w:rFonts w:cs="Times New Roman"/>
                <w:sz w:val="20"/>
                <w:szCs w:val="20"/>
              </w:rPr>
              <w:t>о крупным и средним организациям</w:t>
            </w:r>
            <w:proofErr w:type="gramEnd"/>
            <w:r w:rsidRPr="005473E2">
              <w:rPr>
                <w:rFonts w:cs="Times New Roman"/>
                <w:sz w:val="20"/>
                <w:szCs w:val="20"/>
              </w:rPr>
              <w:t xml:space="preserve"> (без организаций с численностью работающих менее 15 человек) - раздел E</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млн.руб.в</w:t>
            </w:r>
            <w:proofErr w:type="spellEnd"/>
            <w:r w:rsidRPr="005473E2">
              <w:rPr>
                <w:rFonts w:cs="Times New Roman"/>
                <w:sz w:val="20"/>
                <w:szCs w:val="20"/>
              </w:rPr>
              <w:t xml:space="preserve"> ценах соответствующих лет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904,0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935,0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1 083,0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1 254,1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1 140,0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1 452,3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1 170,0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1 682,0</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 раздел E</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115,8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115,8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115,8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115,8</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lastRenderedPageBreak/>
              <w:t>7. Малое и среднее предпринимательство</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Число малых и средних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 xml:space="preserve">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1 891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1 881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1 858</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1 871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1 882</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в том числе,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1 876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1 846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1 853</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1 870</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t>8. Инвестиции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Инвестиции в основной капитал за счет всех источников финансирования по полному кругу организаций</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млн.рублей</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10 662,99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14 557,75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8 000,00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7 000,00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7 600,00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6 000,00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8 200,00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6 000,00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8 500,00</w:t>
            </w:r>
          </w:p>
        </w:tc>
      </w:tr>
      <w:tr w:rsidR="00C1744C" w:rsidRPr="005473E2" w:rsidTr="00C1744C">
        <w:trPr>
          <w:trHeight w:val="129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млн.рублей</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9 952,79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14 423,65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3 000,00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5 000,00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5 100,00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5 000,00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5 200,00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5 000,00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5 300,00</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индекс физического объема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254,7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19,7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158,4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161,4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95,6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97,3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95,6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97,4</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индекс-дефлятор цен</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104,6</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Инвестиции в основной капитал малых предприятий, </w:t>
            </w:r>
            <w:proofErr w:type="spellStart"/>
            <w:r w:rsidRPr="005473E2">
              <w:rPr>
                <w:rFonts w:cs="Times New Roman"/>
                <w:sz w:val="20"/>
                <w:szCs w:val="20"/>
              </w:rPr>
              <w:t>микропредприятий</w:t>
            </w:r>
            <w:proofErr w:type="spellEnd"/>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млн.рублей</w:t>
            </w:r>
            <w:proofErr w:type="spellEnd"/>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710,20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134,10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5 000,00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2 500,00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1 000,00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3 000,00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1 000,00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3 200,00</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Инвестиции в основной капитал (без субъектов малого предпринимательства и параметров неформальной деятельности) из местных бюджетов</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219,86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393,11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250,00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200,00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350,00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300,00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450,00</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t>9. Строительство</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54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Объем жилищного строительства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тыс. кв. м общей площади</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3,85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38,81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20,28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45,36</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в том числе:</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Ввод общей площади жилых домов, построенных населением</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тыс. кв. м общей площади</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3,85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6,20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6,70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18,20</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ввод жилья в многоквартирных жилых домах</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тыс. кв. м общей площади</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33,16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13,58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27,16</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Уровень обеспеченности населения жильем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кв. м на человека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23,28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23,91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24,25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24,58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24,63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24,94</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24,99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25,41</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25,62</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Жилищный фонд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тыс. кв. м</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3 601,6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3 639,1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3 644,5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3 648,6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3 657,4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3 653,7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3 663,8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3 674,0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3 709,2</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t>12. Труд и заработная плата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Количество созданных рабочих мест всего (на крупных и средних предприятиях, на малых предприятиях (включая </w:t>
            </w:r>
            <w:proofErr w:type="spellStart"/>
            <w:r w:rsidRPr="005473E2">
              <w:rPr>
                <w:rFonts w:cs="Times New Roman"/>
                <w:sz w:val="20"/>
                <w:szCs w:val="20"/>
              </w:rPr>
              <w:t>микропредприятия</w:t>
            </w:r>
            <w:proofErr w:type="spellEnd"/>
            <w:r w:rsidRPr="005473E2">
              <w:rPr>
                <w:rFonts w:cs="Times New Roman"/>
                <w:sz w:val="20"/>
                <w:szCs w:val="20"/>
              </w:rPr>
              <w:t>) и индивидуальные предприниматели)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2 764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395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536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580</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Количество созданных рабочих мест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1 553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471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200</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Количество созданных рабочих мест на малых предприятиях (включая </w:t>
            </w:r>
            <w:proofErr w:type="spellStart"/>
            <w:r w:rsidRPr="005473E2">
              <w:rPr>
                <w:rFonts w:cs="Times New Roman"/>
                <w:sz w:val="20"/>
                <w:szCs w:val="20"/>
              </w:rPr>
              <w:t>микропредприятия</w:t>
            </w:r>
            <w:proofErr w:type="spellEnd"/>
            <w:r w:rsidRPr="005473E2">
              <w:rPr>
                <w:rFonts w:cs="Times New Roman"/>
                <w:sz w:val="20"/>
                <w:szCs w:val="20"/>
              </w:rPr>
              <w:t>) и индивидуальные предприниматели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323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345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356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380</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Численность официально зарегистрированных безработных,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548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250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200</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Фонд начисленной заработной платы</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25 088,1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28 697,3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43 770,7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48 711,1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49 190,3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50 583,5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51 938,5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52 391,1</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54 862,7</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фонда заработной платы</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152,5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103,8</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105,6</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Фонд заработной платы по крупным и средним организациям (включая организации с численностью до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19 894,6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22 887,4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37 612,2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42 276,1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42 724,3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43 823,5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45 116,9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45 290,1</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47 688,5</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фонда заработной платы по крупным и средним организациям (включая организации с численностью до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164,3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113,6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103,3</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105,7</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 xml:space="preserve">Справочно: Фонд заработной платы по малым предприятиям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5 193,5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5 809,9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6 158,5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6 435,0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6 466,0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6 760,0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6 821,6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7 101,0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7 174,2</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Темп роста фонда заработной платы по малым предприятиям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111,9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105,1</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105,2</w:t>
            </w:r>
          </w:p>
        </w:tc>
      </w:tr>
      <w:tr w:rsidR="00C1744C" w:rsidRPr="005473E2" w:rsidTr="00C1744C">
        <w:trPr>
          <w:trHeight w:val="126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Среднемесячная номинальная начисленная заработная плата работников (по полному кругу организаций)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52 846,9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60 601,1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90 568,6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100 100,1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100 764,3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102 087,4</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103 419,5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105 068,8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107 203,1</w:t>
            </w:r>
          </w:p>
        </w:tc>
      </w:tr>
      <w:tr w:rsidR="00C1744C" w:rsidRPr="005473E2" w:rsidTr="00C1744C">
        <w:trPr>
          <w:trHeight w:val="1230"/>
        </w:trPr>
        <w:tc>
          <w:tcPr>
            <w:tcW w:w="3964" w:type="dxa"/>
            <w:tcBorders>
              <w:top w:val="nil"/>
              <w:left w:val="single" w:sz="4" w:space="0" w:color="C0C0C0"/>
              <w:bottom w:val="nil"/>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149,5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111,3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102,9</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103,7</w:t>
            </w:r>
          </w:p>
        </w:tc>
      </w:tr>
      <w:tr w:rsidR="00C1744C" w:rsidRPr="005473E2" w:rsidTr="00C1744C">
        <w:trPr>
          <w:trHeight w:val="1140"/>
        </w:trPr>
        <w:tc>
          <w:tcPr>
            <w:tcW w:w="396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Среднемесячная номинальная начисленная заработная плата работников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52 430,7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58 718,8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64 247,0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68 974,0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69 265,3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70 618,5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71 480,4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72 701,2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74 162,4</w:t>
            </w:r>
          </w:p>
        </w:tc>
      </w:tr>
      <w:tr w:rsidR="00C1744C" w:rsidRPr="005473E2" w:rsidTr="00C1744C">
        <w:trPr>
          <w:trHeight w:val="1275"/>
        </w:trPr>
        <w:tc>
          <w:tcPr>
            <w:tcW w:w="3964" w:type="dxa"/>
            <w:tcBorders>
              <w:top w:val="nil"/>
              <w:left w:val="single" w:sz="4" w:space="0" w:color="D9D9D9"/>
              <w:bottom w:val="single" w:sz="4" w:space="0" w:color="D9D9D9"/>
              <w:right w:val="single" w:sz="4" w:space="0" w:color="D9D9D9"/>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среднемесячной номинальной начисленной заработной платы работников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109,4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102,4</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102,9</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103,8</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Реальная заработная плата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99,1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139,5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96,6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97,2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98,8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99,5</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Индекс потребительских цен, в среднем за год</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115,69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106,80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105,60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104,20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104,20</w:t>
            </w:r>
          </w:p>
        </w:tc>
      </w:tr>
      <w:tr w:rsidR="00C1744C" w:rsidRPr="005473E2" w:rsidTr="00C1744C">
        <w:trPr>
          <w:trHeight w:val="121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Среднемесячная заработная плата работников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58 345,4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67 749,5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108 560,2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121 190,5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122 076,4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122 887,1</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124 412,4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126 328,0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128 609,8</w:t>
            </w:r>
          </w:p>
        </w:tc>
      </w:tr>
      <w:tr w:rsidR="00C1744C" w:rsidRPr="005473E2" w:rsidTr="00C1744C">
        <w:trPr>
          <w:trHeight w:val="1200"/>
        </w:trPr>
        <w:tc>
          <w:tcPr>
            <w:tcW w:w="3964" w:type="dxa"/>
            <w:tcBorders>
              <w:top w:val="nil"/>
              <w:left w:val="single" w:sz="4" w:space="0" w:color="C0C0C0"/>
              <w:bottom w:val="single" w:sz="4" w:space="0" w:color="BFBFBF"/>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BFBFBF"/>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109,5</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116,1</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160,2</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111,6</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112,5</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101,4</w:t>
            </w:r>
          </w:p>
        </w:tc>
        <w:tc>
          <w:tcPr>
            <w:tcW w:w="1275"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101,9</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102,8</w:t>
            </w:r>
          </w:p>
        </w:tc>
        <w:tc>
          <w:tcPr>
            <w:tcW w:w="1276"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103,4</w:t>
            </w:r>
          </w:p>
        </w:tc>
      </w:tr>
      <w:tr w:rsidR="00C1744C" w:rsidRPr="005473E2" w:rsidTr="00C1744C">
        <w:trPr>
          <w:trHeight w:val="127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Среднемесячная заработная плата работников по крупным и средним организациям (включая организации с численностью до 15 </w:t>
            </w:r>
            <w:proofErr w:type="gramStart"/>
            <w:r w:rsidRPr="005473E2">
              <w:rPr>
                <w:rFonts w:cs="Times New Roman"/>
                <w:sz w:val="20"/>
                <w:szCs w:val="20"/>
              </w:rPr>
              <w:t>человек)</w:t>
            </w:r>
            <w:r w:rsidRPr="005473E2">
              <w:rPr>
                <w:rFonts w:cs="Times New Roman"/>
                <w:sz w:val="20"/>
                <w:szCs w:val="20"/>
              </w:rPr>
              <w:br/>
              <w:t>с</w:t>
            </w:r>
            <w:proofErr w:type="gramEnd"/>
            <w:r w:rsidRPr="005473E2">
              <w:rPr>
                <w:rFonts w:cs="Times New Roman"/>
                <w:sz w:val="20"/>
                <w:szCs w:val="20"/>
              </w:rPr>
              <w:t xml:space="preserve"> учетом численности работников, выполнявших работы по договорам гражданско-правового характера</w:t>
            </w:r>
          </w:p>
        </w:tc>
        <w:tc>
          <w:tcPr>
            <w:tcW w:w="155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рублей</w:t>
            </w:r>
          </w:p>
        </w:tc>
        <w:tc>
          <w:tcPr>
            <w:tcW w:w="993" w:type="dxa"/>
            <w:tcBorders>
              <w:top w:val="nil"/>
              <w:left w:val="single" w:sz="4" w:space="0" w:color="D9D9D9"/>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57 707,7</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64 836,1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69 081,2</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74 372,1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74 695,4</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75 895,9</w:t>
            </w:r>
          </w:p>
        </w:tc>
        <w:tc>
          <w:tcPr>
            <w:tcW w:w="1275"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76 854,9</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78 017,5</w:t>
            </w:r>
          </w:p>
        </w:tc>
        <w:tc>
          <w:tcPr>
            <w:tcW w:w="1276"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79 640,1</w:t>
            </w:r>
          </w:p>
        </w:tc>
      </w:tr>
      <w:tr w:rsidR="00C1744C" w:rsidRPr="005473E2" w:rsidTr="00C1744C">
        <w:trPr>
          <w:trHeight w:val="124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 с учетом численности работников, выполнявших работы по договорам гражданско-правового характера</w:t>
            </w:r>
          </w:p>
        </w:tc>
        <w:tc>
          <w:tcPr>
            <w:tcW w:w="1559" w:type="dxa"/>
            <w:tcBorders>
              <w:top w:val="nil"/>
              <w:left w:val="single" w:sz="4" w:space="0" w:color="C0C0C0"/>
              <w:bottom w:val="single" w:sz="4" w:space="0" w:color="BFBFBF"/>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112,4</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106,5</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107,7</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108,1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102,0</w:t>
            </w:r>
          </w:p>
        </w:tc>
        <w:tc>
          <w:tcPr>
            <w:tcW w:w="1275"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102,9</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102,8</w:t>
            </w:r>
          </w:p>
        </w:tc>
        <w:tc>
          <w:tcPr>
            <w:tcW w:w="1276"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103,6</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Среднемесячная заработная плата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38 829,3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42 808,0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45 010,4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46 703,5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46 790,0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48 676,5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48 875,3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50 676,5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50 893,8</w:t>
            </w:r>
          </w:p>
        </w:tc>
      </w:tr>
      <w:tr w:rsidR="00C1744C" w:rsidRPr="005473E2" w:rsidTr="00C1744C">
        <w:trPr>
          <w:trHeight w:val="855"/>
        </w:trPr>
        <w:tc>
          <w:tcPr>
            <w:tcW w:w="3964" w:type="dxa"/>
            <w:tcBorders>
              <w:top w:val="nil"/>
              <w:left w:val="single" w:sz="4" w:space="0" w:color="C0C0C0"/>
              <w:bottom w:val="nil"/>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Темп роста среднемесячной заработной платы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119,3</w:t>
            </w:r>
          </w:p>
        </w:tc>
        <w:tc>
          <w:tcPr>
            <w:tcW w:w="1134" w:type="dxa"/>
            <w:tcBorders>
              <w:top w:val="nil"/>
              <w:left w:val="nil"/>
              <w:bottom w:val="nil"/>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110,2</w:t>
            </w:r>
          </w:p>
        </w:tc>
        <w:tc>
          <w:tcPr>
            <w:tcW w:w="1134" w:type="dxa"/>
            <w:tcBorders>
              <w:top w:val="nil"/>
              <w:left w:val="nil"/>
              <w:bottom w:val="nil"/>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105,1</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103,8</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104,0</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104,2</w:t>
            </w:r>
          </w:p>
        </w:tc>
        <w:tc>
          <w:tcPr>
            <w:tcW w:w="1275"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104,5</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104,1</w:t>
            </w:r>
          </w:p>
        </w:tc>
        <w:tc>
          <w:tcPr>
            <w:tcW w:w="1276"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104,1</w:t>
            </w:r>
          </w:p>
        </w:tc>
      </w:tr>
      <w:tr w:rsidR="00C1744C" w:rsidRPr="005473E2" w:rsidTr="00C1744C">
        <w:trPr>
          <w:trHeight w:val="1140"/>
        </w:trPr>
        <w:tc>
          <w:tcPr>
            <w:tcW w:w="396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Среднесписочная численность работников (без внешних совместителей)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39 875</w:t>
            </w:r>
          </w:p>
        </w:tc>
        <w:tc>
          <w:tcPr>
            <w:tcW w:w="1134" w:type="dxa"/>
            <w:tcBorders>
              <w:top w:val="single" w:sz="4" w:space="0" w:color="BFBFBF"/>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40 727</w:t>
            </w:r>
          </w:p>
        </w:tc>
        <w:tc>
          <w:tcPr>
            <w:tcW w:w="1134" w:type="dxa"/>
            <w:tcBorders>
              <w:top w:val="single" w:sz="4" w:space="0" w:color="BFBFBF"/>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56 774</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58 852</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59 181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59 691</w:t>
            </w:r>
          </w:p>
        </w:tc>
        <w:tc>
          <w:tcPr>
            <w:tcW w:w="1275"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60 551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60 053</w:t>
            </w:r>
          </w:p>
        </w:tc>
        <w:tc>
          <w:tcPr>
            <w:tcW w:w="1276"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61 647</w:t>
            </w:r>
          </w:p>
        </w:tc>
      </w:tr>
      <w:tr w:rsidR="00C1744C" w:rsidRPr="005473E2" w:rsidTr="00C1744C">
        <w:trPr>
          <w:trHeight w:val="1230"/>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среднесписочной численности работников (без внешних совместителей) по полному кругу организаций с учетом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139,4</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103,7</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104,2</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101,4</w:t>
            </w:r>
          </w:p>
        </w:tc>
        <w:tc>
          <w:tcPr>
            <w:tcW w:w="1275"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102,3</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100,6</w:t>
            </w:r>
          </w:p>
        </w:tc>
        <w:tc>
          <w:tcPr>
            <w:tcW w:w="1276"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101,8</w:t>
            </w:r>
          </w:p>
        </w:tc>
      </w:tr>
      <w:tr w:rsidR="00C1744C" w:rsidRPr="005473E2" w:rsidTr="00C1744C">
        <w:trPr>
          <w:trHeight w:val="11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Среднесписочная численность работников организаций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28 415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28 152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28 872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29 070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29 165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29 718</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30 220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29 876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30 900</w:t>
            </w:r>
          </w:p>
        </w:tc>
      </w:tr>
      <w:tr w:rsidR="00C1744C" w:rsidRPr="005473E2" w:rsidTr="00C1744C">
        <w:trPr>
          <w:trHeight w:val="1470"/>
        </w:trPr>
        <w:tc>
          <w:tcPr>
            <w:tcW w:w="3964" w:type="dxa"/>
            <w:tcBorders>
              <w:top w:val="nil"/>
              <w:left w:val="single" w:sz="4" w:space="0" w:color="C0C0C0"/>
              <w:bottom w:val="single" w:sz="4" w:space="0" w:color="BFBFBF"/>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 без учета численности работников, выполнявших работы по договорам гражданско-правового характера</w:t>
            </w:r>
          </w:p>
        </w:tc>
        <w:tc>
          <w:tcPr>
            <w:tcW w:w="1559" w:type="dxa"/>
            <w:tcBorders>
              <w:top w:val="nil"/>
              <w:left w:val="nil"/>
              <w:bottom w:val="single" w:sz="4" w:space="0" w:color="BFBFBF"/>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94,2</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99,1</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102,6</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100,7</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102,2</w:t>
            </w:r>
          </w:p>
        </w:tc>
        <w:tc>
          <w:tcPr>
            <w:tcW w:w="1275"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103,6</w:t>
            </w:r>
          </w:p>
        </w:tc>
        <w:tc>
          <w:tcPr>
            <w:tcW w:w="1134"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c>
          <w:tcPr>
            <w:tcW w:w="1276" w:type="dxa"/>
            <w:tcBorders>
              <w:top w:val="nil"/>
              <w:left w:val="nil"/>
              <w:bottom w:val="single" w:sz="4" w:space="0" w:color="BFBFBF"/>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102,3</w:t>
            </w:r>
          </w:p>
        </w:tc>
      </w:tr>
      <w:tr w:rsidR="00C1744C" w:rsidRPr="005473E2" w:rsidTr="00C1744C">
        <w:trPr>
          <w:trHeight w:val="85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Среднесписочная численность работников, работающих по договорам ГПХ (по крупным и средним организациям)</w:t>
            </w:r>
          </w:p>
        </w:tc>
        <w:tc>
          <w:tcPr>
            <w:tcW w:w="1559" w:type="dxa"/>
            <w:tcBorders>
              <w:top w:val="nil"/>
              <w:left w:val="nil"/>
              <w:bottom w:val="single" w:sz="4" w:space="0" w:color="BFBFBF"/>
              <w:right w:val="single" w:sz="4" w:space="0" w:color="auto"/>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314</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1 265</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16 500</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18 300</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18 500</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18 400</w:t>
            </w:r>
          </w:p>
        </w:tc>
        <w:tc>
          <w:tcPr>
            <w:tcW w:w="1275"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18 700</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18 500</w:t>
            </w:r>
          </w:p>
        </w:tc>
        <w:tc>
          <w:tcPr>
            <w:tcW w:w="1276" w:type="dxa"/>
            <w:tcBorders>
              <w:top w:val="nil"/>
              <w:left w:val="nil"/>
              <w:bottom w:val="single" w:sz="4" w:space="0" w:color="BFBFBF"/>
              <w:right w:val="nil"/>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19 000</w:t>
            </w:r>
          </w:p>
        </w:tc>
      </w:tr>
      <w:tr w:rsidR="00C1744C" w:rsidRPr="005473E2" w:rsidTr="00C1744C">
        <w:trPr>
          <w:trHeight w:val="855"/>
        </w:trPr>
        <w:tc>
          <w:tcPr>
            <w:tcW w:w="3964" w:type="dxa"/>
            <w:tcBorders>
              <w:top w:val="nil"/>
              <w:left w:val="single" w:sz="4" w:space="0" w:color="BFBFBF"/>
              <w:bottom w:val="single" w:sz="4" w:space="0" w:color="BFBFBF"/>
              <w:right w:val="single" w:sz="4" w:space="0" w:color="BFBFBF"/>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Темп роста среднесписочной численности работников, работающих по договорам ГПХ (по крупным и средним организациям)</w:t>
            </w:r>
          </w:p>
        </w:tc>
        <w:tc>
          <w:tcPr>
            <w:tcW w:w="1559" w:type="dxa"/>
            <w:tcBorders>
              <w:top w:val="nil"/>
              <w:left w:val="nil"/>
              <w:bottom w:val="nil"/>
              <w:right w:val="single" w:sz="4" w:space="0" w:color="auto"/>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402,9</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1 304,3</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110,9</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112,1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c>
          <w:tcPr>
            <w:tcW w:w="1275"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101,1</w:t>
            </w:r>
          </w:p>
        </w:tc>
        <w:tc>
          <w:tcPr>
            <w:tcW w:w="1134" w:type="dxa"/>
            <w:tcBorders>
              <w:top w:val="nil"/>
              <w:left w:val="nil"/>
              <w:bottom w:val="single" w:sz="4" w:space="0" w:color="BFBFBF"/>
              <w:right w:val="single" w:sz="4" w:space="0" w:color="BFBFBF"/>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c>
          <w:tcPr>
            <w:tcW w:w="1276" w:type="dxa"/>
            <w:tcBorders>
              <w:top w:val="nil"/>
              <w:left w:val="nil"/>
              <w:bottom w:val="single" w:sz="4" w:space="0" w:color="BFBFBF"/>
              <w:right w:val="nil"/>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101,6</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 xml:space="preserve">Справочно: Среднесписочная численность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single" w:sz="4" w:space="0" w:color="BFBFBF"/>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11 146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11 310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11 402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11 482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11 516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11 573</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11 631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11 677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11 747</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 xml:space="preserve">Справочно: Темп роста среднесписочной численности работников малых предприятий (включая </w:t>
            </w:r>
            <w:proofErr w:type="spellStart"/>
            <w:r w:rsidRPr="005473E2">
              <w:rPr>
                <w:rFonts w:cs="Times New Roman"/>
                <w:sz w:val="20"/>
                <w:szCs w:val="20"/>
              </w:rPr>
              <w:t>микропредприятия</w:t>
            </w:r>
            <w:proofErr w:type="spellEnd"/>
            <w:r w:rsidRPr="005473E2">
              <w:rPr>
                <w:rFonts w:cs="Times New Roman"/>
                <w:sz w:val="20"/>
                <w:szCs w:val="20"/>
              </w:rPr>
              <w:t>)</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100,8</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100,9</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101,0</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64 041,0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70 704,6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80 236,1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86 655,0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87 377,1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93 067,5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94 367,3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99 582,2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101 727,9</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51 548,0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55 676,0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62 357,1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66 204,4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66 756,1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69 893,7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70 869,8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73 491,7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75 075,2</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55 238,0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60 943,7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63 738,9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учителей в Московской области</w:t>
            </w:r>
          </w:p>
          <w:p w:rsidR="00C1744C" w:rsidRPr="005473E2" w:rsidRDefault="00C1744C" w:rsidP="00C1744C">
            <w:pPr>
              <w:rPr>
                <w:rFonts w:cs="Times New Roman"/>
                <w:sz w:val="20"/>
                <w:szCs w:val="20"/>
              </w:rPr>
            </w:pPr>
          </w:p>
          <w:p w:rsidR="00C1744C" w:rsidRPr="005473E2" w:rsidRDefault="00C1744C" w:rsidP="00C1744C">
            <w:pPr>
              <w:rPr>
                <w:rFonts w:cs="Times New Roman"/>
                <w:sz w:val="20"/>
                <w:szCs w:val="20"/>
              </w:rPr>
            </w:pP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60 104,0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68 256,4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72 454,6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77 381,6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77 381,6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77 381,6</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77 381,6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77 381,6</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77 381,6</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Среднемесячная номинальная начисленная заработная плата: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педагогических работников общеобразовательных организаций</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56 925,9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63 959,0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67 924,4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72 143,3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72 882,9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72 340,0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73 556,4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73 491,7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75 075,2</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педагогических работников дошкольных образовательных организаций</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55 344,3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59 931,7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63 738,9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68 413,6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68 413,5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68 073,2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66 413,5</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педагогических работников организаций дополнительного образования детей</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63 728,7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68 603,3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73 679,9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78 690,1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79 083,6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78 690,1</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79 083,6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78 690,1</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79 083,6</w:t>
            </w:r>
          </w:p>
        </w:tc>
      </w:tr>
      <w:tr w:rsidR="00C1744C" w:rsidRPr="005473E2" w:rsidTr="00C1744C">
        <w:trPr>
          <w:trHeight w:val="129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110,4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114,9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108,9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109,2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103,4</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103,8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98,3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r>
      <w:tr w:rsidR="00C1744C" w:rsidRPr="005473E2" w:rsidTr="00C1744C">
        <w:trPr>
          <w:trHeight w:val="129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106,0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101,1</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Культура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Среднемесячная номинальная начисленная заработная плата работников муниципальных учреждений культуры - всего</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рубль</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50 390,9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55 071,6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62 357,1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66 204,4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66 756,1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69 893,7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70 869,8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73 491,7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75 075,2</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Отношение средней заработной платы работников учреждений культуры к среднемесячному доходу от трудовой деятельности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97,8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98,9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lastRenderedPageBreak/>
              <w:t>14. Торговля и услуги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Площадь торговых объектов предприятий розничной торговли (на конец года)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тыс. кв. м</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283,7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289,9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294,7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297,5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297,7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297,7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299,8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301,7</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Обеспеченность населения площадью торговых объектов</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proofErr w:type="spellStart"/>
            <w:r w:rsidRPr="005473E2">
              <w:rPr>
                <w:rFonts w:cs="Times New Roman"/>
                <w:sz w:val="20"/>
                <w:szCs w:val="20"/>
              </w:rPr>
              <w:t>кв.метров</w:t>
            </w:r>
            <w:proofErr w:type="spellEnd"/>
            <w:r w:rsidRPr="005473E2">
              <w:rPr>
                <w:rFonts w:cs="Times New Roman"/>
                <w:sz w:val="20"/>
                <w:szCs w:val="20"/>
              </w:rPr>
              <w:t xml:space="preserve"> на 1000 чел.</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1 812,6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1 889,3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1 948,5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1 991,7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1 992,8</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2 018,7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2 030,1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2 059,8</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2 071,1</w:t>
            </w:r>
          </w:p>
        </w:tc>
      </w:tr>
      <w:tr w:rsidR="00C1744C" w:rsidRPr="005473E2" w:rsidTr="00C1744C">
        <w:trPr>
          <w:trHeight w:val="150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тыс. кв. м</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51,2</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в ценах соответствующих лет</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млн. рублей</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28 770,2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29 824,2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31 387,6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32 988,4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33 279,5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34 614,5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35 127,0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36 644,5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37 370,2</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индекс физического объема</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96,5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88,7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100,7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101,5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102,0</w:t>
            </w:r>
          </w:p>
        </w:tc>
      </w:tr>
      <w:tr w:rsidR="00C1744C" w:rsidRPr="005473E2" w:rsidTr="00C1744C">
        <w:trPr>
          <w:trHeight w:val="7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индекс-дефлятор цен</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 к предыдущему году</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109,3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116,9</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105,1</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105,5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104,2</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104,3</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104,3</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104,3</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Количество стационарных объектов розничной торговли</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1 156</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1 217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1 265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1 275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1 285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1 295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1 305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1 326</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в том числе:</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Количество стационарных объектов розничной торговли по продаже продовольственных товаров</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490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515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520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525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540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545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560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565</w:t>
            </w:r>
          </w:p>
        </w:tc>
      </w:tr>
      <w:tr w:rsidR="00C1744C" w:rsidRPr="005473E2" w:rsidTr="00C1744C">
        <w:trPr>
          <w:trHeight w:val="3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b/>
                <w:bCs/>
                <w:sz w:val="20"/>
                <w:szCs w:val="20"/>
              </w:rPr>
            </w:pPr>
            <w:r w:rsidRPr="005473E2">
              <w:rPr>
                <w:rFonts w:cs="Times New Roman"/>
                <w:b/>
                <w:bCs/>
                <w:sz w:val="20"/>
                <w:szCs w:val="20"/>
              </w:rPr>
              <w:t>17.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Дошкольное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lastRenderedPageBreak/>
              <w:t>Справочно: Число мест в дошкольных муниципальных образовательных организациях</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7 257</w:t>
            </w:r>
          </w:p>
        </w:tc>
      </w:tr>
      <w:tr w:rsidR="00C1744C" w:rsidRPr="005473E2" w:rsidTr="00C1744C">
        <w:trPr>
          <w:trHeight w:val="42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Общее образование:</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 </w:t>
            </w:r>
          </w:p>
        </w:tc>
      </w:tr>
      <w:tr w:rsidR="00C1744C" w:rsidRPr="005473E2" w:rsidTr="00C1744C">
        <w:trPr>
          <w:trHeight w:val="630"/>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Число мест в муниципальных общеобразовательных организациях</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единица</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17 205</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Доля обучающихся в государственных (муниципальных) общеобразовательных организациях, занимающихся во вторую смену</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процент</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r>
      <w:tr w:rsidR="00C1744C" w:rsidRPr="005473E2" w:rsidTr="00C1744C">
        <w:trPr>
          <w:trHeight w:val="106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Численность обучающихся в государственных (муниципальных) общеобразовательных организациях, занимающихся во вторую смену</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w:t>
            </w:r>
          </w:p>
        </w:tc>
      </w:tr>
      <w:tr w:rsidR="00C1744C" w:rsidRPr="005473E2" w:rsidTr="00C1744C">
        <w:trPr>
          <w:trHeight w:val="855"/>
        </w:trPr>
        <w:tc>
          <w:tcPr>
            <w:tcW w:w="3964" w:type="dxa"/>
            <w:tcBorders>
              <w:top w:val="nil"/>
              <w:left w:val="single" w:sz="4" w:space="0" w:color="C0C0C0"/>
              <w:bottom w:val="single" w:sz="4" w:space="0" w:color="C0C0C0"/>
              <w:right w:val="single" w:sz="4" w:space="0" w:color="C0C0C0"/>
            </w:tcBorders>
            <w:shd w:val="clear" w:color="auto" w:fill="auto"/>
            <w:vAlign w:val="center"/>
            <w:hideMark/>
          </w:tcPr>
          <w:p w:rsidR="00C1744C" w:rsidRPr="005473E2" w:rsidRDefault="00C1744C" w:rsidP="00C1744C">
            <w:pPr>
              <w:rPr>
                <w:rFonts w:cs="Times New Roman"/>
                <w:sz w:val="20"/>
                <w:szCs w:val="20"/>
              </w:rPr>
            </w:pPr>
            <w:r w:rsidRPr="005473E2">
              <w:rPr>
                <w:rFonts w:cs="Times New Roman"/>
                <w:sz w:val="20"/>
                <w:szCs w:val="20"/>
              </w:rPr>
              <w:t>Справочно: Общее число обучающихся в государственных (муниципальных) общеобразовательных организациях</w:t>
            </w:r>
          </w:p>
        </w:tc>
        <w:tc>
          <w:tcPr>
            <w:tcW w:w="1559" w:type="dxa"/>
            <w:tcBorders>
              <w:top w:val="nil"/>
              <w:left w:val="nil"/>
              <w:bottom w:val="single" w:sz="4" w:space="0" w:color="C0C0C0"/>
              <w:right w:val="single" w:sz="4" w:space="0" w:color="C0C0C0"/>
            </w:tcBorders>
            <w:shd w:val="clear" w:color="auto" w:fill="auto"/>
            <w:vAlign w:val="center"/>
            <w:hideMark/>
          </w:tcPr>
          <w:p w:rsidR="00C1744C" w:rsidRPr="005473E2" w:rsidRDefault="00C1744C" w:rsidP="00C1744C">
            <w:pPr>
              <w:jc w:val="center"/>
              <w:rPr>
                <w:rFonts w:cs="Times New Roman"/>
                <w:sz w:val="20"/>
                <w:szCs w:val="20"/>
              </w:rPr>
            </w:pPr>
            <w:r w:rsidRPr="005473E2">
              <w:rPr>
                <w:rFonts w:cs="Times New Roman"/>
                <w:sz w:val="20"/>
                <w:szCs w:val="20"/>
              </w:rPr>
              <w:t>человек</w:t>
            </w:r>
          </w:p>
        </w:tc>
        <w:tc>
          <w:tcPr>
            <w:tcW w:w="993"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22 772</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23 700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23 654</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23 620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23 670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23 580</w:t>
            </w:r>
          </w:p>
        </w:tc>
        <w:tc>
          <w:tcPr>
            <w:tcW w:w="1275"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23 650</w:t>
            </w:r>
          </w:p>
        </w:tc>
        <w:tc>
          <w:tcPr>
            <w:tcW w:w="1134"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23 550</w:t>
            </w:r>
          </w:p>
        </w:tc>
        <w:tc>
          <w:tcPr>
            <w:tcW w:w="1276" w:type="dxa"/>
            <w:tcBorders>
              <w:top w:val="nil"/>
              <w:left w:val="nil"/>
              <w:bottom w:val="single" w:sz="4" w:space="0" w:color="C0C0C0"/>
              <w:right w:val="single" w:sz="4" w:space="0" w:color="C0C0C0"/>
            </w:tcBorders>
            <w:shd w:val="clear" w:color="auto" w:fill="auto"/>
            <w:noWrap/>
            <w:vAlign w:val="center"/>
            <w:hideMark/>
          </w:tcPr>
          <w:p w:rsidR="00C1744C" w:rsidRPr="005473E2" w:rsidRDefault="00C1744C" w:rsidP="00C1744C">
            <w:pPr>
              <w:jc w:val="center"/>
              <w:rPr>
                <w:rFonts w:cs="Times New Roman"/>
                <w:sz w:val="20"/>
                <w:szCs w:val="20"/>
              </w:rPr>
            </w:pPr>
            <w:r w:rsidRPr="005473E2">
              <w:rPr>
                <w:rFonts w:cs="Times New Roman"/>
                <w:sz w:val="20"/>
                <w:szCs w:val="20"/>
              </w:rPr>
              <w:t>23 620</w:t>
            </w:r>
          </w:p>
        </w:tc>
      </w:tr>
    </w:tbl>
    <w:p w:rsidR="000528DF" w:rsidRDefault="000528DF" w:rsidP="006D7CCF">
      <w:pPr>
        <w:ind w:firstLine="567"/>
        <w:jc w:val="both"/>
        <w:rPr>
          <w:rFonts w:cs="Times New Roman"/>
        </w:rPr>
      </w:pPr>
    </w:p>
    <w:p w:rsidR="000528DF" w:rsidRPr="005473E2" w:rsidRDefault="000528DF" w:rsidP="006D7CCF">
      <w:pPr>
        <w:ind w:firstLine="567"/>
        <w:jc w:val="both"/>
        <w:rPr>
          <w:rFonts w:cs="Times New Roman"/>
        </w:rPr>
        <w:sectPr w:rsidR="000528DF" w:rsidRPr="005473E2" w:rsidSect="00E7479D">
          <w:pgSz w:w="16838" w:h="11906" w:orient="landscape"/>
          <w:pgMar w:top="1701" w:right="1134" w:bottom="850" w:left="851" w:header="708" w:footer="708" w:gutter="0"/>
          <w:cols w:space="708"/>
          <w:docGrid w:linePitch="360"/>
        </w:sectPr>
      </w:pPr>
    </w:p>
    <w:p w:rsidR="00C1744C" w:rsidRPr="00C1744C" w:rsidRDefault="00C1744C" w:rsidP="00C1744C">
      <w:pPr>
        <w:pStyle w:val="a3"/>
        <w:numPr>
          <w:ilvl w:val="0"/>
          <w:numId w:val="5"/>
        </w:numPr>
        <w:jc w:val="center"/>
        <w:rPr>
          <w:b/>
        </w:rPr>
      </w:pPr>
      <w:r w:rsidRPr="00C1744C">
        <w:rPr>
          <w:b/>
        </w:rPr>
        <w:lastRenderedPageBreak/>
        <w:t>Пояснительная записка к прогнозу социально- экономического развития</w:t>
      </w:r>
    </w:p>
    <w:p w:rsidR="00C1744C" w:rsidRDefault="00C1744C" w:rsidP="00C1744C">
      <w:pPr>
        <w:pStyle w:val="a3"/>
        <w:jc w:val="center"/>
        <w:rPr>
          <w:b/>
        </w:rPr>
      </w:pPr>
      <w:r w:rsidRPr="00C1744C">
        <w:rPr>
          <w:b/>
        </w:rPr>
        <w:t>городского округа Электросталь Московской области на 2024-2026 годы</w:t>
      </w:r>
    </w:p>
    <w:p w:rsidR="00C1744C" w:rsidRPr="00C1744C" w:rsidRDefault="00C1744C" w:rsidP="00C1744C">
      <w:pPr>
        <w:pStyle w:val="a3"/>
        <w:jc w:val="center"/>
        <w:rPr>
          <w:b/>
        </w:rPr>
      </w:pPr>
    </w:p>
    <w:p w:rsidR="00C1744C" w:rsidRPr="00BC3EA2" w:rsidRDefault="00C1744C" w:rsidP="00C1744C">
      <w:pPr>
        <w:ind w:firstLine="567"/>
        <w:jc w:val="both"/>
        <w:rPr>
          <w:rFonts w:cs="Times New Roman"/>
        </w:rPr>
      </w:pPr>
      <w:r w:rsidRPr="00BC3EA2">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30.06.2023 №910/6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(далее – Порядок).</w:t>
      </w:r>
    </w:p>
    <w:p w:rsidR="00C1744C" w:rsidRPr="00BC3EA2" w:rsidRDefault="00C1744C" w:rsidP="00C1744C">
      <w:pPr>
        <w:tabs>
          <w:tab w:val="left" w:pos="4320"/>
        </w:tabs>
        <w:ind w:firstLine="567"/>
        <w:jc w:val="both"/>
      </w:pPr>
      <w:r w:rsidRPr="00BC3EA2">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C1744C" w:rsidRPr="00BC3EA2" w:rsidRDefault="00C1744C" w:rsidP="00C1744C">
      <w:pPr>
        <w:tabs>
          <w:tab w:val="left" w:pos="4320"/>
        </w:tabs>
        <w:ind w:firstLine="567"/>
        <w:jc w:val="both"/>
      </w:pPr>
      <w:r w:rsidRPr="00BC3EA2">
        <w:t xml:space="preserve">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базе статистических данных за 2021 и 2022 годы, а также итогов социально-экономического развития экономики и социальной сферы городского округа Электросталь Московской области в январе-июне 2023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C1744C" w:rsidRPr="00BC3EA2" w:rsidRDefault="00C1744C" w:rsidP="00C1744C">
      <w:pPr>
        <w:widowControl w:val="0"/>
        <w:autoSpaceDE w:val="0"/>
        <w:autoSpaceDN w:val="0"/>
        <w:ind w:firstLine="567"/>
        <w:jc w:val="both"/>
        <w:rPr>
          <w:rFonts w:cs="Times New Roman"/>
        </w:rPr>
      </w:pPr>
      <w:r w:rsidRPr="00BC3EA2">
        <w:rPr>
          <w:rFonts w:cs="Times New Roman"/>
        </w:rPr>
        <w:t>Разработка основных параметров развития экономики проведена по двум вариантам:</w:t>
      </w:r>
    </w:p>
    <w:p w:rsidR="00C1744C" w:rsidRPr="00BC3EA2" w:rsidRDefault="00C1744C" w:rsidP="00C1744C">
      <w:pPr>
        <w:ind w:firstLine="567"/>
        <w:jc w:val="both"/>
        <w:rPr>
          <w:rFonts w:cs="Times New Roman"/>
        </w:rPr>
      </w:pPr>
      <w:r w:rsidRPr="00BC3EA2">
        <w:rPr>
          <w:rFonts w:cs="Times New Roman"/>
        </w:rPr>
        <w:t>первый вариант (консервативный) – предлагает развитие на основе консервативных оценок темпов экономического роста с учетом возможности ухудшения экономических условий;</w:t>
      </w:r>
    </w:p>
    <w:p w:rsidR="00C1744C" w:rsidRPr="00BC3EA2" w:rsidRDefault="00C1744C" w:rsidP="00C1744C">
      <w:pPr>
        <w:ind w:firstLine="567"/>
        <w:jc w:val="both"/>
        <w:rPr>
          <w:rFonts w:cs="Times New Roman"/>
        </w:rPr>
      </w:pPr>
      <w:r w:rsidRPr="00BC3EA2">
        <w:rPr>
          <w:rFonts w:cs="Times New Roman"/>
        </w:rPr>
        <w:t>второй вариант (базовый) – характеризует оживление и рост в экономике вследствие расширения инвестиционных программ, поддержки государством внутреннего спроса и предложения.</w:t>
      </w:r>
    </w:p>
    <w:p w:rsidR="00C1744C" w:rsidRPr="00BC3EA2" w:rsidRDefault="00C1744C" w:rsidP="00C1744C">
      <w:pPr>
        <w:ind w:firstLine="567"/>
        <w:jc w:val="both"/>
        <w:rPr>
          <w:rFonts w:cs="Times New Roman"/>
        </w:rPr>
      </w:pPr>
    </w:p>
    <w:p w:rsidR="00C1744C" w:rsidRPr="00BC3EA2" w:rsidRDefault="00C1744C" w:rsidP="00C1744C">
      <w:pPr>
        <w:ind w:firstLine="567"/>
        <w:jc w:val="both"/>
        <w:rPr>
          <w:rFonts w:cs="Times New Roman"/>
          <w:b/>
          <w:bCs/>
        </w:rPr>
      </w:pPr>
      <w:r w:rsidRPr="00BC3EA2">
        <w:rPr>
          <w:rFonts w:cs="Times New Roman"/>
          <w:b/>
          <w:bCs/>
        </w:rPr>
        <w:t>Краткая характеристика муниципального образования</w:t>
      </w:r>
    </w:p>
    <w:p w:rsidR="00C1744C" w:rsidRPr="00BC3EA2" w:rsidRDefault="00C1744C" w:rsidP="00C1744C">
      <w:pPr>
        <w:ind w:firstLine="567"/>
        <w:jc w:val="both"/>
        <w:rPr>
          <w:rFonts w:cs="Times New Roman"/>
        </w:rPr>
      </w:pPr>
      <w:r w:rsidRPr="00BC3EA2">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Городской округ Электросталь расположен в 58 км к востоку от центра г. Москвы. Площадь территории городского округа составляет 13 537 га. В состав городского округа помимо города Электросталь входят следующие населенные пункты: деревня Бабеево; поселок </w:t>
      </w:r>
      <w:proofErr w:type="spellStart"/>
      <w:r w:rsidRPr="00BC3EA2">
        <w:rPr>
          <w:rFonts w:cs="Times New Roman"/>
        </w:rPr>
        <w:t>Всеволодово</w:t>
      </w:r>
      <w:proofErr w:type="spellEnd"/>
      <w:r w:rsidRPr="00BC3EA2">
        <w:rPr>
          <w:rFonts w:cs="Times New Roman"/>
        </w:rPr>
        <w:t xml:space="preserve">; поселок Елизаветино; деревня Есино; село </w:t>
      </w:r>
      <w:proofErr w:type="spellStart"/>
      <w:r w:rsidRPr="00BC3EA2">
        <w:rPr>
          <w:rFonts w:cs="Times New Roman"/>
        </w:rPr>
        <w:t>Иванисово</w:t>
      </w:r>
      <w:proofErr w:type="spellEnd"/>
      <w:r w:rsidRPr="00BC3EA2">
        <w:rPr>
          <w:rFonts w:cs="Times New Roman"/>
        </w:rPr>
        <w:t xml:space="preserve">; поселок Новые Дома; деревня Пушкино; </w:t>
      </w:r>
      <w:proofErr w:type="gramStart"/>
      <w:r w:rsidRPr="00BC3EA2">
        <w:rPr>
          <w:rFonts w:cs="Times New Roman"/>
        </w:rPr>
        <w:t>поселок  Случайный</w:t>
      </w:r>
      <w:proofErr w:type="gramEnd"/>
      <w:r w:rsidRPr="00BC3EA2">
        <w:rPr>
          <w:rFonts w:cs="Times New Roman"/>
        </w:rPr>
        <w:t xml:space="preserve">; деревня Степаново; поселок </w:t>
      </w:r>
      <w:proofErr w:type="spellStart"/>
      <w:r w:rsidRPr="00BC3EA2">
        <w:rPr>
          <w:rFonts w:cs="Times New Roman"/>
        </w:rPr>
        <w:t>Фрязево</w:t>
      </w:r>
      <w:proofErr w:type="spellEnd"/>
      <w:r w:rsidRPr="00BC3EA2">
        <w:rPr>
          <w:rFonts w:cs="Times New Roman"/>
        </w:rPr>
        <w:t>.</w:t>
      </w:r>
    </w:p>
    <w:p w:rsidR="00C1744C" w:rsidRPr="00BC3EA2" w:rsidRDefault="00C1744C" w:rsidP="00C1744C">
      <w:pPr>
        <w:ind w:firstLine="567"/>
        <w:jc w:val="both"/>
        <w:rPr>
          <w:rFonts w:cs="Times New Roman"/>
          <w:b/>
          <w:bCs/>
          <w:i/>
        </w:rPr>
      </w:pPr>
    </w:p>
    <w:p w:rsidR="00C1744C" w:rsidRPr="00BC3EA2" w:rsidRDefault="00C1744C" w:rsidP="00C1744C">
      <w:pPr>
        <w:ind w:firstLine="567"/>
        <w:jc w:val="both"/>
        <w:rPr>
          <w:rFonts w:cs="Times New Roman"/>
          <w:b/>
          <w:bCs/>
          <w:i/>
        </w:rPr>
      </w:pPr>
      <w:r w:rsidRPr="00BC3EA2">
        <w:rPr>
          <w:rFonts w:cs="Times New Roman"/>
          <w:b/>
          <w:bCs/>
          <w:i/>
        </w:rPr>
        <w:t>Отрасли экономики, являющиеся драйверами развития муниципального образования.</w:t>
      </w:r>
    </w:p>
    <w:p w:rsidR="00C1744C" w:rsidRPr="00BC3EA2" w:rsidRDefault="00C1744C" w:rsidP="00C1744C">
      <w:pPr>
        <w:ind w:firstLine="567"/>
        <w:jc w:val="both"/>
        <w:rPr>
          <w:rFonts w:cs="Times New Roman"/>
        </w:rPr>
      </w:pPr>
      <w:r w:rsidRPr="00BC3EA2">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332 крупных и средних предприятий всех видов деятельности. В тоже время территория городского округа насыщена хозяйствующими субъектами малого предпринимательства. </w:t>
      </w:r>
    </w:p>
    <w:p w:rsidR="00C1744C" w:rsidRPr="00BC3EA2" w:rsidRDefault="00C1744C" w:rsidP="00C1744C">
      <w:pPr>
        <w:ind w:firstLine="567"/>
        <w:jc w:val="both"/>
        <w:rPr>
          <w:rFonts w:cs="Times New Roman"/>
          <w:b/>
        </w:rPr>
      </w:pPr>
    </w:p>
    <w:p w:rsidR="00C1744C" w:rsidRPr="00BC3EA2" w:rsidRDefault="00C1744C" w:rsidP="00C1744C">
      <w:pPr>
        <w:ind w:firstLine="567"/>
        <w:jc w:val="both"/>
        <w:rPr>
          <w:rFonts w:cs="Times New Roman"/>
          <w:b/>
        </w:rPr>
      </w:pPr>
      <w:r w:rsidRPr="00BC3EA2">
        <w:rPr>
          <w:rFonts w:cs="Times New Roman"/>
          <w:b/>
        </w:rPr>
        <w:t>Демографические показатели.</w:t>
      </w:r>
    </w:p>
    <w:p w:rsidR="00C1744C" w:rsidRPr="00BC3EA2" w:rsidRDefault="00C1744C" w:rsidP="00C1744C">
      <w:pPr>
        <w:ind w:firstLine="567"/>
        <w:jc w:val="both"/>
        <w:rPr>
          <w:rFonts w:cs="Times New Roman"/>
        </w:rPr>
      </w:pPr>
      <w:r w:rsidRPr="00BC3EA2">
        <w:rPr>
          <w:rFonts w:cs="Times New Roman"/>
        </w:rPr>
        <w:t>Численность населения городского округа Электросталь по состоянию на 01.01.2022 (с учётом итогов Всероссийской переписи населения 2020 г.) составляла 154701 человек. В 2022 году в городском округе родилось 1079 детей, смертность составила 2250 человек. В результате, естественная убыль населения городского округа составила 1171 человек.  Ввиду естественной убыли населения, а также отрицательного миграционного прироста, сложившегося в 2022 году (-1340 человек), численность населения городского округа Электросталь по состоянию на 01.01.2023 уменьшилась и составила 152190 человек.</w:t>
      </w:r>
    </w:p>
    <w:p w:rsidR="00C1744C" w:rsidRPr="00BC3EA2" w:rsidRDefault="00C1744C" w:rsidP="00C1744C">
      <w:pPr>
        <w:ind w:firstLine="567"/>
        <w:jc w:val="both"/>
        <w:rPr>
          <w:rFonts w:eastAsia="+mn-ea"/>
          <w:kern w:val="24"/>
        </w:rPr>
      </w:pPr>
      <w:r w:rsidRPr="00BC3EA2">
        <w:rPr>
          <w:rFonts w:eastAsia="+mn-ea"/>
          <w:kern w:val="24"/>
        </w:rPr>
        <w:t>В 2022 году родилось на 8,18 % меньше детей по сравнению с предыдущим годом, число родившихся составило 1079 детей, что на 96 детей меньше, чем за аналогичный период 2021 года (1173 ребенка). Общий коэффициент рождаемости за 2022 год снизился на 0,5 единиц и составил 7,0 родившихся на 1000 человек населения (в 2021 году – 7,5 родившихся на 1000 человек населения).</w:t>
      </w:r>
    </w:p>
    <w:p w:rsidR="00C1744C" w:rsidRPr="00BC3EA2" w:rsidRDefault="00C1744C" w:rsidP="00C1744C">
      <w:pPr>
        <w:ind w:firstLine="567"/>
        <w:jc w:val="both"/>
      </w:pPr>
      <w:r w:rsidRPr="00BC3EA2">
        <w:rPr>
          <w:rFonts w:eastAsia="+mn-ea"/>
          <w:kern w:val="24"/>
        </w:rPr>
        <w:t xml:space="preserve">За январь – июнь 2023 года в городском округе родилось 582 ребенка, что на 42 ребенка больше, чем за аналогичный период 2022 года. Наблюдается тенденция к росту рождаемости. К концу 2023 года рождаемость оценочно превысит значения 2022 года. </w:t>
      </w:r>
      <w:r w:rsidRPr="00BC3EA2">
        <w:t>В прогнозном периоде 2024-2026 годов ожидается незначительный рост рождаемости, что обусловлено следующими основными причинами: снижение количества женщин фертильного возраста в активном детородном периоде, откладывание планирования беременности. Однако, последовательная реализация мероприятий по поддержке материнства и детства, позволит рассчитывать на формирование положительной динамики рождаемости по второму варианту прогноза.</w:t>
      </w:r>
    </w:p>
    <w:p w:rsidR="00C1744C" w:rsidRPr="00BC3EA2" w:rsidRDefault="00C1744C" w:rsidP="00C1744C">
      <w:pPr>
        <w:ind w:firstLine="567"/>
        <w:jc w:val="both"/>
        <w:rPr>
          <w:rFonts w:cs="Times New Roman"/>
        </w:rPr>
      </w:pPr>
      <w:r w:rsidRPr="00BC3EA2">
        <w:rPr>
          <w:rFonts w:cs="Times New Roman"/>
        </w:rPr>
        <w:t xml:space="preserve">В 2022 году наблюдалось снижение смертности. За 2022 год в городском округе умерло 2250 человек, что на 688 человек меньше, чем в 2021 году. </w:t>
      </w:r>
    </w:p>
    <w:p w:rsidR="00C1744C" w:rsidRPr="00BC3EA2" w:rsidRDefault="00C1744C" w:rsidP="00C1744C">
      <w:pPr>
        <w:ind w:firstLine="567"/>
        <w:jc w:val="both"/>
        <w:rPr>
          <w:rFonts w:cs="Times New Roman"/>
        </w:rPr>
      </w:pPr>
      <w:r w:rsidRPr="00BC3EA2">
        <w:rPr>
          <w:rFonts w:cs="Times New Roman"/>
        </w:rPr>
        <w:t>Тенденция снижения смертности наблюдается и в 2023 году, за январь-июнь 2023 года смертность составила 1031 человек, в 2021 году за аналогичный период умерло 1195 человек (на 164 человека больше). В этой связи уровень смертности в 2023 году уменьшится и оценочно составит 2156 человек.</w:t>
      </w:r>
    </w:p>
    <w:p w:rsidR="00C1744C" w:rsidRPr="00BC3EA2" w:rsidRDefault="00C1744C" w:rsidP="00C1744C">
      <w:pPr>
        <w:ind w:firstLine="567"/>
        <w:jc w:val="both"/>
        <w:rPr>
          <w:rFonts w:cs="Times New Roman"/>
        </w:rPr>
      </w:pPr>
      <w:r w:rsidRPr="00BC3EA2">
        <w:rPr>
          <w:rFonts w:cs="Times New Roman"/>
        </w:rPr>
        <w:t>В прогнозном периоде ожидается снижение смертности. Наращивание мощностей учреждений здравоохранения, совершенствование медицинской помощи, и проводимая профилактическая работа будут способствовать ограничению роста новых случаев смертности. Реализация мероприятий по снижению смертности населения, улучшение качества медицинского обслуживания, профилактика заболеваний позволит увеличить ожидаемую продолжительность жизни к 2026 году.</w:t>
      </w:r>
    </w:p>
    <w:p w:rsidR="00C1744C" w:rsidRPr="00BC3EA2" w:rsidRDefault="00C1744C" w:rsidP="00C1744C">
      <w:pPr>
        <w:ind w:firstLine="567"/>
        <w:jc w:val="both"/>
        <w:rPr>
          <w:rFonts w:cs="Times New Roman"/>
          <w:bCs/>
        </w:rPr>
      </w:pPr>
      <w:r w:rsidRPr="00BC3EA2">
        <w:rPr>
          <w:rFonts w:cs="Times New Roman"/>
          <w:bCs/>
        </w:rPr>
        <w:t xml:space="preserve">С 2019 года на территории городского округа Электросталь наблюдается отрицательный миграционный прирос.  За период январь-июнь 2023 года миграционный прирост по городскому округу отрицательный (-370 </w:t>
      </w:r>
      <w:proofErr w:type="gramStart"/>
      <w:r w:rsidRPr="00BC3EA2">
        <w:rPr>
          <w:rFonts w:cs="Times New Roman"/>
          <w:bCs/>
        </w:rPr>
        <w:t>чел</w:t>
      </w:r>
      <w:proofErr w:type="gramEnd"/>
      <w:r w:rsidRPr="00BC3EA2">
        <w:rPr>
          <w:rFonts w:cs="Times New Roman"/>
          <w:bCs/>
        </w:rPr>
        <w:t>). Учитывая, что за последние три года годовой миграционный прирост складывался отрицательный, и с учетом того, что на территории не планируется строительство крупных предприятий, а также ввиду низкого роста жилищного строительства, на прогнозный период 2024-2026 годов ожидается сохранение отрицательного миграционного прироста.</w:t>
      </w:r>
    </w:p>
    <w:p w:rsidR="00C1744C" w:rsidRPr="00BC3EA2" w:rsidRDefault="00C1744C" w:rsidP="00C1744C">
      <w:pPr>
        <w:ind w:firstLine="567"/>
        <w:jc w:val="both"/>
        <w:rPr>
          <w:rFonts w:cs="Times New Roman"/>
          <w:b/>
        </w:rPr>
      </w:pPr>
    </w:p>
    <w:p w:rsidR="00C1744C" w:rsidRPr="00BC3EA2" w:rsidRDefault="00C1744C" w:rsidP="00C1744C">
      <w:pPr>
        <w:ind w:firstLine="567"/>
        <w:jc w:val="both"/>
        <w:rPr>
          <w:rFonts w:cs="Times New Roman"/>
          <w:b/>
        </w:rPr>
      </w:pPr>
      <w:r w:rsidRPr="00BC3EA2">
        <w:rPr>
          <w:rFonts w:cs="Times New Roman"/>
          <w:b/>
        </w:rPr>
        <w:t>Промышленное производство.</w:t>
      </w:r>
    </w:p>
    <w:p w:rsidR="00C1744C" w:rsidRPr="00BC3EA2" w:rsidRDefault="00C1744C" w:rsidP="00C1744C">
      <w:pPr>
        <w:ind w:firstLine="567"/>
        <w:jc w:val="both"/>
        <w:rPr>
          <w:rFonts w:cs="Times New Roman"/>
          <w:b/>
          <w:bCs/>
          <w:i/>
        </w:rPr>
      </w:pPr>
      <w:r w:rsidRPr="00BC3EA2">
        <w:rPr>
          <w:rFonts w:cs="Times New Roman"/>
          <w:b/>
          <w:bCs/>
          <w:i/>
        </w:rPr>
        <w:t>Сложившаяся характеристика развития промышленного производства</w:t>
      </w:r>
    </w:p>
    <w:p w:rsidR="00C1744C" w:rsidRPr="00BC3EA2" w:rsidRDefault="00C1744C" w:rsidP="00C1744C">
      <w:pPr>
        <w:widowControl w:val="0"/>
        <w:autoSpaceDE w:val="0"/>
        <w:autoSpaceDN w:val="0"/>
        <w:ind w:left="52" w:right="32" w:firstLine="515"/>
        <w:jc w:val="both"/>
        <w:rPr>
          <w:rFonts w:cs="Times New Roman"/>
          <w:spacing w:val="-4"/>
          <w:w w:val="105"/>
          <w:lang w:bidi="ru-RU"/>
        </w:rPr>
      </w:pPr>
      <w:r w:rsidRPr="00BC3EA2">
        <w:rPr>
          <w:rFonts w:cs="Times New Roman"/>
          <w:w w:val="105"/>
          <w:lang w:bidi="ru-RU"/>
        </w:rPr>
        <w:t>Основные экономические показатели города, в основном, формируют три крупнейшие промышленные предприятия, осуществляющие свою деятельность сфере обрабатывающего производства:</w:t>
      </w:r>
      <w:r w:rsidRPr="00BC3EA2">
        <w:rPr>
          <w:rFonts w:cs="Times New Roman"/>
          <w:spacing w:val="-4"/>
          <w:w w:val="105"/>
          <w:lang w:bidi="ru-RU"/>
        </w:rPr>
        <w:t xml:space="preserve"> </w:t>
      </w:r>
    </w:p>
    <w:p w:rsidR="00C1744C" w:rsidRPr="00BC3EA2" w:rsidRDefault="00C1744C" w:rsidP="00C1744C">
      <w:pPr>
        <w:widowControl w:val="0"/>
        <w:autoSpaceDE w:val="0"/>
        <w:autoSpaceDN w:val="0"/>
        <w:ind w:left="52" w:right="32" w:firstLine="515"/>
        <w:jc w:val="both"/>
        <w:rPr>
          <w:rFonts w:cs="Times New Roman"/>
          <w:spacing w:val="31"/>
          <w:w w:val="105"/>
          <w:lang w:bidi="ru-RU"/>
        </w:rPr>
      </w:pPr>
      <w:r w:rsidRPr="00BC3EA2">
        <w:rPr>
          <w:rFonts w:cs="Times New Roman"/>
          <w:w w:val="105"/>
          <w:lang w:bidi="ru-RU"/>
        </w:rPr>
        <w:t>АО</w:t>
      </w:r>
      <w:r w:rsidRPr="00BC3EA2">
        <w:rPr>
          <w:rFonts w:cs="Times New Roman"/>
          <w:lang w:bidi="ru-RU"/>
        </w:rPr>
        <w:t xml:space="preserve"> </w:t>
      </w:r>
      <w:r w:rsidRPr="00BC3EA2">
        <w:rPr>
          <w:rFonts w:cs="Times New Roman"/>
          <w:w w:val="105"/>
          <w:lang w:bidi="ru-RU"/>
        </w:rPr>
        <w:t xml:space="preserve">«Машиностроительный завод», входит в структуру Топливной компании «ТВЭЛ» </w:t>
      </w:r>
      <w:proofErr w:type="spellStart"/>
      <w:r w:rsidRPr="00BC3EA2">
        <w:rPr>
          <w:rFonts w:cs="Times New Roman"/>
          <w:w w:val="105"/>
          <w:lang w:bidi="ru-RU"/>
        </w:rPr>
        <w:t>Госкорпорации</w:t>
      </w:r>
      <w:proofErr w:type="spellEnd"/>
      <w:r w:rsidRPr="00BC3EA2">
        <w:rPr>
          <w:rFonts w:cs="Times New Roman"/>
          <w:w w:val="105"/>
          <w:lang w:bidi="ru-RU"/>
        </w:rPr>
        <w:t xml:space="preserve"> «</w:t>
      </w:r>
      <w:proofErr w:type="spellStart"/>
      <w:r w:rsidRPr="00BC3EA2">
        <w:rPr>
          <w:rFonts w:cs="Times New Roman"/>
          <w:w w:val="105"/>
          <w:lang w:bidi="ru-RU"/>
        </w:rPr>
        <w:t>Росатом</w:t>
      </w:r>
      <w:proofErr w:type="spellEnd"/>
      <w:r w:rsidRPr="00BC3EA2">
        <w:rPr>
          <w:rFonts w:cs="Times New Roman"/>
          <w:w w:val="105"/>
          <w:lang w:bidi="ru-RU"/>
        </w:rPr>
        <w:t xml:space="preserve">», вид </w:t>
      </w:r>
      <w:r w:rsidRPr="00BC3EA2">
        <w:rPr>
          <w:rFonts w:cs="Times New Roman"/>
          <w:spacing w:val="-2"/>
          <w:w w:val="105"/>
          <w:lang w:bidi="ru-RU"/>
        </w:rPr>
        <w:t xml:space="preserve">деятельности: </w:t>
      </w:r>
      <w:r w:rsidRPr="00BC3EA2">
        <w:rPr>
          <w:rFonts w:cs="Times New Roman"/>
          <w:w w:val="105"/>
          <w:lang w:bidi="ru-RU"/>
        </w:rPr>
        <w:t>производство ядерного топлива;</w:t>
      </w:r>
      <w:r w:rsidRPr="00BC3EA2">
        <w:rPr>
          <w:rFonts w:cs="Times New Roman"/>
          <w:spacing w:val="31"/>
          <w:w w:val="105"/>
          <w:lang w:bidi="ru-RU"/>
        </w:rPr>
        <w:t xml:space="preserve">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«Электростальский завод тяжелого машиностроения», вид деятельности: </w:t>
      </w:r>
      <w:r w:rsidRPr="00BC3EA2">
        <w:rPr>
          <w:rFonts w:cs="Times New Roman"/>
          <w:w w:val="105"/>
          <w:lang w:bidi="ru-RU"/>
        </w:rPr>
        <w:lastRenderedPageBreak/>
        <w:t xml:space="preserve">производство машин и оборудования для металлургии, выпускает прокатные станы для металлургической промышленности.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Кроме них, на территории городского округа осуществляют деятельность крупные предприятия: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ОАО «Электростальский химико- механический завод им. </w:t>
      </w:r>
      <w:proofErr w:type="spellStart"/>
      <w:r w:rsidRPr="00BC3EA2">
        <w:rPr>
          <w:rFonts w:cs="Times New Roman"/>
          <w:w w:val="105"/>
          <w:lang w:bidi="ru-RU"/>
        </w:rPr>
        <w:t>Н.Д.Зелинского</w:t>
      </w:r>
      <w:proofErr w:type="spellEnd"/>
      <w:r w:rsidRPr="00BC3EA2">
        <w:rPr>
          <w:rFonts w:cs="Times New Roman"/>
          <w:w w:val="105"/>
          <w:lang w:bidi="ru-RU"/>
        </w:rPr>
        <w:t>»,</w:t>
      </w:r>
      <w:r w:rsidRPr="00BC3EA2">
        <w:rPr>
          <w:rFonts w:cs="Times New Roman"/>
          <w:spacing w:val="-20"/>
          <w:w w:val="105"/>
          <w:lang w:bidi="ru-RU"/>
        </w:rPr>
        <w:t xml:space="preserve"> </w:t>
      </w:r>
      <w:r w:rsidRPr="00BC3EA2">
        <w:rPr>
          <w:rFonts w:cs="Times New Roman"/>
          <w:w w:val="105"/>
          <w:lang w:bidi="ru-RU"/>
        </w:rPr>
        <w:t>ранее входивший в корпорацию «</w:t>
      </w:r>
      <w:proofErr w:type="spellStart"/>
      <w:r w:rsidRPr="00BC3EA2">
        <w:rPr>
          <w:rFonts w:cs="Times New Roman"/>
          <w:w w:val="105"/>
          <w:lang w:bidi="ru-RU"/>
        </w:rPr>
        <w:t>Спецзащита</w:t>
      </w:r>
      <w:proofErr w:type="spellEnd"/>
      <w:r w:rsidRPr="00BC3EA2">
        <w:rPr>
          <w:rFonts w:cs="Times New Roman"/>
          <w:w w:val="105"/>
          <w:lang w:bidi="ru-RU"/>
        </w:rPr>
        <w:t xml:space="preserve">», теперь работает под брендом «Зелинский групп», вид деятельности: производство </w:t>
      </w:r>
      <w:r w:rsidRPr="00BC3EA2">
        <w:rPr>
          <w:rFonts w:cs="Times New Roman"/>
          <w:spacing w:val="-3"/>
          <w:w w:val="105"/>
          <w:lang w:bidi="ru-RU"/>
        </w:rPr>
        <w:t xml:space="preserve">средств </w:t>
      </w:r>
      <w:r w:rsidRPr="00BC3EA2">
        <w:rPr>
          <w:rFonts w:cs="Times New Roman"/>
          <w:w w:val="105"/>
          <w:lang w:bidi="ru-RU"/>
        </w:rPr>
        <w:t xml:space="preserve">индивидуальной защиты, производит жизненно необходимые средства химзащиты;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АО</w:t>
      </w:r>
      <w:r w:rsidRPr="00BC3EA2">
        <w:rPr>
          <w:rFonts w:cs="Times New Roman"/>
          <w:spacing w:val="-13"/>
          <w:w w:val="105"/>
          <w:lang w:bidi="ru-RU"/>
        </w:rPr>
        <w:t xml:space="preserve"> </w:t>
      </w:r>
      <w:r w:rsidRPr="00BC3EA2">
        <w:rPr>
          <w:rFonts w:cs="Times New Roman"/>
          <w:w w:val="105"/>
          <w:lang w:bidi="ru-RU"/>
        </w:rPr>
        <w:t xml:space="preserve">«НПО «Неорганика», вид деятельности: научные исследования и разработки в области естественных и технических наук;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 АО «502 завод по ремонту военно-технического имущества»: предприятие находится под ведомством Минобороны РФ, вид </w:t>
      </w:r>
      <w:r w:rsidRPr="00BC3EA2">
        <w:rPr>
          <w:rFonts w:cs="Times New Roman"/>
          <w:spacing w:val="-2"/>
          <w:w w:val="105"/>
          <w:lang w:bidi="ru-RU"/>
        </w:rPr>
        <w:t xml:space="preserve">деятельности: </w:t>
      </w:r>
      <w:r w:rsidRPr="00BC3EA2">
        <w:rPr>
          <w:rFonts w:cs="Times New Roman"/>
          <w:w w:val="105"/>
          <w:lang w:bidi="ru-RU"/>
        </w:rPr>
        <w:t xml:space="preserve">ремонт вооружения и военной техники.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Объем отгруженных товаров собственного производства крупных и средних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 xml:space="preserve">по промышленным видам деятельности составил за 2022 год                                          72,26 млрд. руб., рост по сравнению с 2021 годом 131% (в 2021 году объем отгруженных товаров составил 55,16 </w:t>
      </w:r>
      <w:proofErr w:type="spellStart"/>
      <w:r w:rsidRPr="00BC3EA2">
        <w:rPr>
          <w:rFonts w:cs="Times New Roman"/>
          <w:w w:val="105"/>
          <w:lang w:bidi="ru-RU"/>
        </w:rPr>
        <w:t>млрд.руб</w:t>
      </w:r>
      <w:proofErr w:type="spellEnd"/>
      <w:r w:rsidRPr="00BC3EA2">
        <w:rPr>
          <w:rFonts w:cs="Times New Roman"/>
          <w:w w:val="105"/>
          <w:lang w:bidi="ru-RU"/>
        </w:rPr>
        <w:t>.)</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2022 года составляла 94,5 %.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Особое влияние на рост показателя оказывают три крупнейших предприятия города АО «Машиностроительный завод» (производство ядерного топлива), АО «Металлургический завод «Электросталь» (производство стали в слитках), ОАО «Электростальский завод тяжелого машиностроения» (производство машин и оборудования для металлургии, выпускает прокатные станы для металлургической промышленности).  Объем отгруженной продукции за 2022 год у АО «МСЗ» составил 22,26 </w:t>
      </w:r>
      <w:proofErr w:type="spellStart"/>
      <w:r w:rsidRPr="00BC3EA2">
        <w:rPr>
          <w:rFonts w:cs="Times New Roman"/>
          <w:w w:val="105"/>
          <w:lang w:bidi="ru-RU"/>
        </w:rPr>
        <w:t>млрд.руб</w:t>
      </w:r>
      <w:proofErr w:type="spellEnd"/>
      <w:r w:rsidRPr="00BC3EA2">
        <w:rPr>
          <w:rFonts w:cs="Times New Roman"/>
          <w:w w:val="105"/>
          <w:lang w:bidi="ru-RU"/>
        </w:rPr>
        <w:t xml:space="preserve">. (темп роста – 144,3%), у АО МЗ «Электросталь» - 19,04 </w:t>
      </w:r>
      <w:proofErr w:type="spellStart"/>
      <w:r w:rsidRPr="00BC3EA2">
        <w:rPr>
          <w:rFonts w:cs="Times New Roman"/>
          <w:w w:val="105"/>
          <w:lang w:bidi="ru-RU"/>
        </w:rPr>
        <w:t>млрд.руб</w:t>
      </w:r>
      <w:proofErr w:type="spellEnd"/>
      <w:r w:rsidRPr="00BC3EA2">
        <w:rPr>
          <w:rFonts w:cs="Times New Roman"/>
          <w:w w:val="105"/>
          <w:lang w:bidi="ru-RU"/>
        </w:rPr>
        <w:t>. (темп роста - 136,8%), ОАО «ЭЗТМ» - 2,74 млрд. руб. Доля этих предприятий в общем объеме отгруженной продукции по промышленным предприятиям городского округа – 60,9%.</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В январе - июне 2023 года объемы отгруженной продукции трех крупнейших предприятий городского округа продолжают увеличиваться.  АО «МСЗ» отгрузил за январь-июнь 2023 года продукции на 9,16 </w:t>
      </w:r>
      <w:proofErr w:type="spellStart"/>
      <w:r w:rsidRPr="00BC3EA2">
        <w:rPr>
          <w:rFonts w:cs="Times New Roman"/>
          <w:w w:val="105"/>
          <w:lang w:bidi="ru-RU"/>
        </w:rPr>
        <w:t>млрд.руб</w:t>
      </w:r>
      <w:proofErr w:type="spellEnd"/>
      <w:r w:rsidRPr="00BC3EA2">
        <w:rPr>
          <w:rFonts w:cs="Times New Roman"/>
          <w:w w:val="105"/>
          <w:lang w:bidi="ru-RU"/>
        </w:rPr>
        <w:t xml:space="preserve">. (рост по сравнению с аналогичным периодом 2022 года – 160,1%), АО МЗ «Электросталь» - 12,88 </w:t>
      </w:r>
      <w:proofErr w:type="spellStart"/>
      <w:r w:rsidRPr="00BC3EA2">
        <w:rPr>
          <w:rFonts w:cs="Times New Roman"/>
          <w:w w:val="105"/>
          <w:lang w:bidi="ru-RU"/>
        </w:rPr>
        <w:t>млрд.руб</w:t>
      </w:r>
      <w:proofErr w:type="spellEnd"/>
      <w:r w:rsidRPr="00BC3EA2">
        <w:rPr>
          <w:rFonts w:cs="Times New Roman"/>
          <w:w w:val="105"/>
          <w:lang w:bidi="ru-RU"/>
        </w:rPr>
        <w:t xml:space="preserve">. (темп роста – 183,3%), ОАО «ЭЗТМ» - ЭЗТМ» - 2,02 млрд. </w:t>
      </w:r>
      <w:proofErr w:type="gramStart"/>
      <w:r w:rsidRPr="00BC3EA2">
        <w:rPr>
          <w:rFonts w:cs="Times New Roman"/>
          <w:w w:val="105"/>
          <w:lang w:bidi="ru-RU"/>
        </w:rPr>
        <w:t>руб.(</w:t>
      </w:r>
      <w:proofErr w:type="gramEnd"/>
      <w:r w:rsidRPr="00BC3EA2">
        <w:rPr>
          <w:rFonts w:cs="Times New Roman"/>
          <w:w w:val="105"/>
          <w:lang w:bidi="ru-RU"/>
        </w:rPr>
        <w:t>темп роста – 184,3%).</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В 2023 году объем отгруженных товаров собственного производства крупных и средних предприятий и организаций городского округа </w:t>
      </w:r>
      <w:r w:rsidRPr="00BC3EA2">
        <w:rPr>
          <w:rFonts w:cs="Times New Roman"/>
          <w:lang w:bidi="ru-RU"/>
        </w:rPr>
        <w:t xml:space="preserve">(без организаций с численностью работающих менее 15 человек) </w:t>
      </w:r>
      <w:r w:rsidRPr="00BC3EA2">
        <w:rPr>
          <w:rFonts w:cs="Times New Roman"/>
          <w:w w:val="105"/>
          <w:lang w:bidi="ru-RU"/>
        </w:rPr>
        <w:t xml:space="preserve">по промышленным видам деятельности составит оценочно 113,35 </w:t>
      </w:r>
      <w:proofErr w:type="spellStart"/>
      <w:r w:rsidRPr="00BC3EA2">
        <w:rPr>
          <w:rFonts w:cs="Times New Roman"/>
          <w:w w:val="105"/>
          <w:lang w:bidi="ru-RU"/>
        </w:rPr>
        <w:t>млрд.руб</w:t>
      </w:r>
      <w:proofErr w:type="spellEnd"/>
      <w:r w:rsidRPr="00BC3EA2">
        <w:rPr>
          <w:rFonts w:cs="Times New Roman"/>
          <w:w w:val="105"/>
          <w:lang w:bidi="ru-RU"/>
        </w:rPr>
        <w:t xml:space="preserve">., рост по сравнению с 2022 годом 156,9%. Рост объемов отгруженной продукции в основном обусловлен ростом числа </w:t>
      </w:r>
      <w:proofErr w:type="spellStart"/>
      <w:r w:rsidRPr="00BC3EA2">
        <w:rPr>
          <w:rFonts w:cs="Times New Roman"/>
          <w:w w:val="105"/>
          <w:lang w:bidi="ru-RU"/>
        </w:rPr>
        <w:t>гособоронзаказов</w:t>
      </w:r>
      <w:proofErr w:type="spellEnd"/>
      <w:r w:rsidRPr="00BC3EA2">
        <w:rPr>
          <w:rFonts w:cs="Times New Roman"/>
          <w:w w:val="105"/>
          <w:lang w:bidi="ru-RU"/>
        </w:rPr>
        <w:t xml:space="preserve">. Основная </w:t>
      </w:r>
      <w:r w:rsidRPr="00BC3EA2">
        <w:rPr>
          <w:rFonts w:cs="Times New Roman"/>
          <w:spacing w:val="-4"/>
          <w:w w:val="105"/>
          <w:lang w:bidi="ru-RU"/>
        </w:rPr>
        <w:t xml:space="preserve">доля </w:t>
      </w:r>
      <w:r w:rsidRPr="00BC3EA2">
        <w:rPr>
          <w:rFonts w:cs="Times New Roman"/>
          <w:w w:val="105"/>
          <w:lang w:bidi="ru-RU"/>
        </w:rPr>
        <w:t xml:space="preserve">отгруженной продукции приходится на предприятия обрабатывающего производства, за 2023 год объем оценочно составит 109,32 </w:t>
      </w:r>
      <w:proofErr w:type="spellStart"/>
      <w:r w:rsidRPr="00BC3EA2">
        <w:rPr>
          <w:rFonts w:cs="Times New Roman"/>
          <w:w w:val="105"/>
          <w:lang w:bidi="ru-RU"/>
        </w:rPr>
        <w:t>млрд.руб</w:t>
      </w:r>
      <w:proofErr w:type="spellEnd"/>
      <w:r w:rsidRPr="00BC3EA2">
        <w:rPr>
          <w:rFonts w:cs="Times New Roman"/>
          <w:w w:val="105"/>
          <w:lang w:bidi="ru-RU"/>
        </w:rPr>
        <w:t xml:space="preserve">. (рост – 160%). </w:t>
      </w:r>
    </w:p>
    <w:p w:rsidR="00C1744C" w:rsidRPr="00BC3EA2" w:rsidRDefault="00C1744C" w:rsidP="00C1744C">
      <w:pPr>
        <w:widowControl w:val="0"/>
        <w:autoSpaceDE w:val="0"/>
        <w:autoSpaceDN w:val="0"/>
        <w:ind w:left="52" w:right="32" w:firstLine="515"/>
        <w:jc w:val="both"/>
        <w:rPr>
          <w:rFonts w:cs="Times New Roman"/>
          <w:w w:val="105"/>
          <w:lang w:bidi="ru-RU"/>
        </w:rPr>
      </w:pPr>
      <w:r w:rsidRPr="00BC3EA2">
        <w:rPr>
          <w:rFonts w:cs="Times New Roman"/>
          <w:w w:val="105"/>
          <w:lang w:bidi="ru-RU"/>
        </w:rPr>
        <w:t xml:space="preserve">В целом по городскому округу объем отгруженной продукции крупных и средних организаций городского округа по промышленным видам деятельности за январь-июнь 2023 года составил 54,1 </w:t>
      </w:r>
      <w:proofErr w:type="spellStart"/>
      <w:r w:rsidRPr="00BC3EA2">
        <w:rPr>
          <w:rFonts w:cs="Times New Roman"/>
          <w:w w:val="105"/>
          <w:lang w:bidi="ru-RU"/>
        </w:rPr>
        <w:t>млрд.рублей</w:t>
      </w:r>
      <w:proofErr w:type="spellEnd"/>
      <w:r w:rsidRPr="00BC3EA2">
        <w:rPr>
          <w:rFonts w:cs="Times New Roman"/>
          <w:w w:val="105"/>
          <w:lang w:bidi="ru-RU"/>
        </w:rPr>
        <w:t xml:space="preserve"> (тем роста по сравнению с аналогичным периодом 2022 года – 184,3%), в том числе: «Обрабатывающее производство» – 51,77 </w:t>
      </w:r>
      <w:proofErr w:type="spellStart"/>
      <w:r w:rsidRPr="00BC3EA2">
        <w:rPr>
          <w:rFonts w:cs="Times New Roman"/>
          <w:w w:val="105"/>
          <w:lang w:bidi="ru-RU"/>
        </w:rPr>
        <w:t>млрд.руб</w:t>
      </w:r>
      <w:proofErr w:type="spellEnd"/>
      <w:r w:rsidRPr="00BC3EA2">
        <w:rPr>
          <w:rFonts w:cs="Times New Roman"/>
          <w:w w:val="105"/>
          <w:lang w:bidi="ru-RU"/>
        </w:rPr>
        <w:t xml:space="preserve">. (темп роста – 191,1%); «Обеспечение электрической энергией, газом и паром; кондиционирование воздуха» – 1,77 (темп роста – 96,1%);  «Водоснабжение; водоотведение, организация сбора и утилизации отходов, деятельность по ликвидации загрязнений» – 0,56 </w:t>
      </w:r>
      <w:proofErr w:type="spellStart"/>
      <w:r w:rsidRPr="00BC3EA2">
        <w:rPr>
          <w:rFonts w:cs="Times New Roman"/>
          <w:w w:val="105"/>
          <w:lang w:bidi="ru-RU"/>
        </w:rPr>
        <w:t>млн.руб</w:t>
      </w:r>
      <w:proofErr w:type="spellEnd"/>
      <w:r w:rsidRPr="00BC3EA2">
        <w:rPr>
          <w:rFonts w:cs="Times New Roman"/>
          <w:w w:val="105"/>
          <w:lang w:bidi="ru-RU"/>
        </w:rPr>
        <w:t xml:space="preserve">. (темп роста – 117,6%). В обрабатывающем производстве наиболее высокий объем отгруженной продукции сложился по виду деятельности «Производство металлургическое» - 24,75 </w:t>
      </w:r>
      <w:proofErr w:type="spellStart"/>
      <w:r w:rsidRPr="00BC3EA2">
        <w:rPr>
          <w:rFonts w:cs="Times New Roman"/>
          <w:w w:val="105"/>
          <w:lang w:bidi="ru-RU"/>
        </w:rPr>
        <w:lastRenderedPageBreak/>
        <w:t>млрд.руб</w:t>
      </w:r>
      <w:proofErr w:type="spellEnd"/>
      <w:r w:rsidRPr="00BC3EA2">
        <w:rPr>
          <w:rFonts w:cs="Times New Roman"/>
          <w:w w:val="105"/>
          <w:lang w:bidi="ru-RU"/>
        </w:rPr>
        <w:t>. (темп роста – 140%).</w:t>
      </w:r>
    </w:p>
    <w:p w:rsidR="00C1744C" w:rsidRPr="00BC3EA2" w:rsidRDefault="00C1744C" w:rsidP="00C1744C">
      <w:pPr>
        <w:widowControl w:val="0"/>
        <w:autoSpaceDE w:val="0"/>
        <w:autoSpaceDN w:val="0"/>
        <w:ind w:left="52" w:right="32" w:firstLine="515"/>
        <w:jc w:val="both"/>
        <w:rPr>
          <w:rFonts w:cs="Times New Roman"/>
          <w:b/>
          <w:lang w:bidi="ru-RU"/>
        </w:rPr>
      </w:pPr>
      <w:r w:rsidRPr="00BC3EA2">
        <w:rPr>
          <w:rFonts w:cs="Times New Roman"/>
          <w:w w:val="105"/>
          <w:lang w:bidi="ru-RU"/>
        </w:rPr>
        <w:t>На прогнозный период 2024-2026 годов планируется умеренный рост объема отгруженной продукции промышленного производства: 2024 год – 104,8%, 2025 год – 106,1%, 2026 год – 107,2%.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предприятий;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объема отгруженной продукции, выпускаемой на территории городского округа Электросталь.</w:t>
      </w:r>
    </w:p>
    <w:p w:rsidR="00C1744C" w:rsidRPr="00BC3EA2" w:rsidRDefault="00C1744C" w:rsidP="00C1744C">
      <w:pPr>
        <w:ind w:firstLine="540"/>
        <w:jc w:val="both"/>
        <w:rPr>
          <w:rFonts w:cs="Times New Roman"/>
          <w:b/>
        </w:rPr>
      </w:pPr>
    </w:p>
    <w:p w:rsidR="00C1744C" w:rsidRPr="00BC3EA2" w:rsidRDefault="00C1744C" w:rsidP="00C1744C">
      <w:pPr>
        <w:ind w:firstLine="540"/>
        <w:jc w:val="both"/>
        <w:rPr>
          <w:rFonts w:cs="Times New Roman"/>
          <w:b/>
        </w:rPr>
      </w:pPr>
      <w:r w:rsidRPr="00BC3EA2">
        <w:rPr>
          <w:rFonts w:cs="Times New Roman"/>
          <w:b/>
          <w:bCs/>
        </w:rPr>
        <w:t>Малое и среднее предпринимательство</w:t>
      </w:r>
      <w:r w:rsidRPr="00BC3EA2">
        <w:rPr>
          <w:rFonts w:cs="Times New Roman"/>
          <w:b/>
        </w:rPr>
        <w:t>.</w:t>
      </w:r>
    </w:p>
    <w:p w:rsidR="00C1744C" w:rsidRPr="00BC3EA2" w:rsidRDefault="00C1744C" w:rsidP="00C1744C">
      <w:pPr>
        <w:widowControl w:val="0"/>
        <w:autoSpaceDE w:val="0"/>
        <w:autoSpaceDN w:val="0"/>
        <w:spacing w:before="23"/>
        <w:ind w:right="52" w:firstLine="567"/>
        <w:jc w:val="both"/>
        <w:rPr>
          <w:rFonts w:cs="Times New Roman"/>
          <w:lang w:bidi="ru-RU"/>
        </w:rPr>
      </w:pPr>
      <w:r w:rsidRPr="00BC3EA2">
        <w:rPr>
          <w:rFonts w:cs="Times New Roman"/>
          <w:w w:val="105"/>
          <w:lang w:bidi="ru-RU"/>
        </w:rPr>
        <w:t>По состоянию на 1 января 2023 года в городском округе Электросталь Московской области функционировал 1881 субъект малого и среднего предпринимательства (без учета ИП) (далее – МСП).</w:t>
      </w:r>
    </w:p>
    <w:p w:rsidR="00C1744C" w:rsidRPr="00BC3EA2" w:rsidRDefault="00C1744C" w:rsidP="00C1744C">
      <w:pPr>
        <w:ind w:firstLine="567"/>
        <w:jc w:val="both"/>
        <w:rPr>
          <w:rFonts w:cs="Times New Roman"/>
          <w:w w:val="105"/>
        </w:rPr>
      </w:pPr>
      <w:r w:rsidRPr="00BC3EA2">
        <w:rPr>
          <w:rFonts w:cs="Times New Roman"/>
          <w:w w:val="105"/>
        </w:rPr>
        <w:t>Среднесписочная численность работающих в организациях МСП по итогам 2022 года составляла 11310 человек. Среднемесячная заработная плата на предприятиях МСП по итогам 2022 года составляла – 42808 руб. 33% налоговых поступлений в доход местного бюджета приходится на поступления от деятельности субъектов МСП.</w:t>
      </w:r>
    </w:p>
    <w:p w:rsidR="00C1744C" w:rsidRPr="00BC3EA2" w:rsidRDefault="00C1744C" w:rsidP="00C1744C">
      <w:pPr>
        <w:ind w:firstLine="567"/>
        <w:jc w:val="both"/>
        <w:rPr>
          <w:rFonts w:cs="Times New Roman"/>
          <w:w w:val="105"/>
        </w:rPr>
      </w:pPr>
      <w:r w:rsidRPr="00BC3EA2">
        <w:rPr>
          <w:rFonts w:cs="Times New Roman"/>
          <w:w w:val="105"/>
        </w:rPr>
        <w:t xml:space="preserve">Снижение численности субъектов МСП обусловлено неустойчивой экономической ситуацией, вызванной влиянием ранее введенных ограничительных мер по борьбе с </w:t>
      </w:r>
      <w:proofErr w:type="spellStart"/>
      <w:r w:rsidRPr="00BC3EA2">
        <w:rPr>
          <w:rFonts w:cs="Times New Roman"/>
          <w:w w:val="105"/>
        </w:rPr>
        <w:t>короновирусной</w:t>
      </w:r>
      <w:proofErr w:type="spellEnd"/>
      <w:r w:rsidRPr="00BC3EA2">
        <w:rPr>
          <w:rFonts w:cs="Times New Roman"/>
          <w:w w:val="105"/>
        </w:rPr>
        <w:t xml:space="preserve"> инфекцией и </w:t>
      </w:r>
      <w:proofErr w:type="spellStart"/>
      <w:r w:rsidRPr="00BC3EA2">
        <w:rPr>
          <w:rFonts w:cs="Times New Roman"/>
          <w:w w:val="105"/>
        </w:rPr>
        <w:t>санкционной</w:t>
      </w:r>
      <w:proofErr w:type="spellEnd"/>
      <w:r w:rsidRPr="00BC3EA2">
        <w:rPr>
          <w:rFonts w:cs="Times New Roman"/>
          <w:w w:val="105"/>
        </w:rPr>
        <w:t xml:space="preserve"> политикой западных стран против Российской Федерации.</w:t>
      </w:r>
    </w:p>
    <w:p w:rsidR="00C1744C" w:rsidRPr="00BC3EA2" w:rsidRDefault="00C1744C" w:rsidP="00C1744C">
      <w:pPr>
        <w:ind w:firstLine="567"/>
        <w:jc w:val="both"/>
        <w:rPr>
          <w:rFonts w:cs="Times New Roman"/>
          <w:w w:val="105"/>
        </w:rPr>
      </w:pPr>
      <w:r w:rsidRPr="00BC3EA2">
        <w:rPr>
          <w:rFonts w:cs="Times New Roman"/>
          <w:w w:val="105"/>
        </w:rPr>
        <w:t xml:space="preserve">Несмотря на меры государственной поддержки, оказываемой субъектам малого предпринимательства в 2023 году продолжается тенденция к </w:t>
      </w:r>
      <w:proofErr w:type="gramStart"/>
      <w:r w:rsidRPr="00BC3EA2">
        <w:rPr>
          <w:rFonts w:cs="Times New Roman"/>
          <w:w w:val="105"/>
        </w:rPr>
        <w:t>снижению  численности</w:t>
      </w:r>
      <w:proofErr w:type="gramEnd"/>
      <w:r w:rsidRPr="00BC3EA2">
        <w:rPr>
          <w:rFonts w:cs="Times New Roman"/>
          <w:w w:val="105"/>
        </w:rPr>
        <w:t xml:space="preserve"> МСП. Малый бизнес городского округа Электросталь в своем большинстве смог адаптироваться к текущим кризисным условиям, но говорить о полном восстановлении пока преждевременно.</w:t>
      </w:r>
      <w:r w:rsidRPr="00BC3EA2">
        <w:rPr>
          <w:rFonts w:ascii="Tahoma" w:hAnsi="Tahoma" w:cs="Times New Roman"/>
        </w:rPr>
        <w:t xml:space="preserve"> </w:t>
      </w:r>
    </w:p>
    <w:p w:rsidR="00C1744C" w:rsidRPr="00BC3EA2" w:rsidRDefault="00C1744C" w:rsidP="00C1744C">
      <w:pPr>
        <w:ind w:firstLine="567"/>
        <w:jc w:val="both"/>
        <w:rPr>
          <w:rFonts w:cs="Times New Roman"/>
          <w:w w:val="105"/>
        </w:rPr>
      </w:pPr>
      <w:r w:rsidRPr="00BC3EA2">
        <w:rPr>
          <w:rFonts w:cs="Times New Roman"/>
          <w:w w:val="105"/>
        </w:rPr>
        <w:t>В связи с неустойчивой экономической ситуаций из-за введения санкций против Российской Федерации в 2024 году планируется незначительное снижение численности юридических лиц. В последующих годах в связи с поэтапным восстановлением экономики планируется незначительный рост предприятий за счет реализации инвестиционных проектов, развития индустриальных парков и привлечения на территорию городского округа дополнительных резидентов.</w:t>
      </w:r>
    </w:p>
    <w:p w:rsidR="00C1744C" w:rsidRPr="00BC3EA2" w:rsidRDefault="00C1744C" w:rsidP="00C1744C">
      <w:pPr>
        <w:ind w:firstLine="567"/>
        <w:jc w:val="both"/>
        <w:rPr>
          <w:rFonts w:cs="Times New Roman"/>
          <w:w w:val="105"/>
        </w:rPr>
      </w:pPr>
      <w:r w:rsidRPr="00BC3EA2">
        <w:rPr>
          <w:rFonts w:cs="Times New Roman"/>
          <w:w w:val="105"/>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имущественная и информационная поддержка. </w:t>
      </w:r>
    </w:p>
    <w:p w:rsidR="00C1744C" w:rsidRPr="00BC3EA2" w:rsidRDefault="00C1744C" w:rsidP="00C1744C">
      <w:pPr>
        <w:ind w:firstLine="567"/>
        <w:jc w:val="both"/>
        <w:rPr>
          <w:rFonts w:cs="Times New Roman"/>
          <w:w w:val="105"/>
        </w:rPr>
      </w:pPr>
      <w:r w:rsidRPr="00BC3EA2">
        <w:rPr>
          <w:rFonts w:cs="Times New Roman"/>
          <w:w w:val="105"/>
        </w:rPr>
        <w:t xml:space="preserve">В 2022 году объем финансирования мероприятия программы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 1 </w:t>
      </w:r>
      <w:proofErr w:type="spellStart"/>
      <w:r w:rsidRPr="00BC3EA2">
        <w:rPr>
          <w:rFonts w:cs="Times New Roman"/>
          <w:w w:val="105"/>
        </w:rPr>
        <w:t>млн.рублей</w:t>
      </w:r>
      <w:proofErr w:type="spellEnd"/>
      <w:r w:rsidRPr="00BC3EA2">
        <w:rPr>
          <w:rFonts w:cs="Times New Roman"/>
          <w:w w:val="105"/>
        </w:rPr>
        <w:t>.</w:t>
      </w:r>
    </w:p>
    <w:p w:rsidR="00C1744C" w:rsidRPr="00BC3EA2" w:rsidRDefault="00C1744C" w:rsidP="00C1744C">
      <w:pPr>
        <w:ind w:firstLine="567"/>
        <w:jc w:val="both"/>
        <w:rPr>
          <w:rFonts w:cs="Times New Roman"/>
          <w:b/>
          <w:bCs/>
          <w:spacing w:val="-1"/>
        </w:rPr>
      </w:pPr>
    </w:p>
    <w:p w:rsidR="00C1744C" w:rsidRPr="00BC3EA2" w:rsidRDefault="00C1744C" w:rsidP="00C1744C">
      <w:pPr>
        <w:ind w:firstLine="540"/>
        <w:jc w:val="both"/>
        <w:rPr>
          <w:rFonts w:cs="Times New Roman"/>
          <w:b/>
          <w:bCs/>
          <w:spacing w:val="-1"/>
        </w:rPr>
      </w:pPr>
      <w:r w:rsidRPr="00BC3EA2">
        <w:rPr>
          <w:rFonts w:cs="Times New Roman"/>
          <w:b/>
          <w:bCs/>
          <w:spacing w:val="-1"/>
        </w:rPr>
        <w:t>Инвестиции.</w:t>
      </w:r>
    </w:p>
    <w:p w:rsidR="00C1744C" w:rsidRPr="00BC3EA2" w:rsidRDefault="00C1744C" w:rsidP="00C1744C">
      <w:pPr>
        <w:widowControl w:val="0"/>
        <w:autoSpaceDE w:val="0"/>
        <w:autoSpaceDN w:val="0"/>
        <w:ind w:right="56" w:firstLine="567"/>
        <w:jc w:val="both"/>
        <w:rPr>
          <w:rFonts w:cs="Times New Roman"/>
          <w:w w:val="105"/>
          <w:lang w:bidi="ru-RU"/>
        </w:rPr>
      </w:pPr>
      <w:r w:rsidRPr="00BC3EA2">
        <w:rPr>
          <w:rFonts w:cs="Times New Roman"/>
          <w:w w:val="105"/>
          <w:lang w:bidi="ru-RU"/>
        </w:rPr>
        <w:t xml:space="preserve">В 2022 году объем инвестиций в основной капитал за счет всех источников финансирования по городскому округу Электросталь составил 14,56 млрд. руб., индекс физического объема составил 124 % (уровень инфляции -116,9%). По крупным и средним организациям объем инвестиций составил 14,42 </w:t>
      </w:r>
      <w:proofErr w:type="spellStart"/>
      <w:r w:rsidRPr="00BC3EA2">
        <w:rPr>
          <w:rFonts w:cs="Times New Roman"/>
          <w:w w:val="105"/>
          <w:lang w:bidi="ru-RU"/>
        </w:rPr>
        <w:t>мрд.руб</w:t>
      </w:r>
      <w:proofErr w:type="spellEnd"/>
      <w:r w:rsidRPr="00BC3EA2">
        <w:rPr>
          <w:rFonts w:cs="Times New Roman"/>
          <w:w w:val="105"/>
          <w:lang w:bidi="ru-RU"/>
        </w:rPr>
        <w:t xml:space="preserve">., по малым и </w:t>
      </w:r>
      <w:proofErr w:type="spellStart"/>
      <w:r w:rsidRPr="00BC3EA2">
        <w:rPr>
          <w:rFonts w:cs="Times New Roman"/>
          <w:w w:val="105"/>
          <w:lang w:bidi="ru-RU"/>
        </w:rPr>
        <w:t>микропредприятиям</w:t>
      </w:r>
      <w:proofErr w:type="spellEnd"/>
      <w:r w:rsidRPr="00BC3EA2">
        <w:rPr>
          <w:rFonts w:cs="Times New Roman"/>
          <w:w w:val="105"/>
          <w:lang w:bidi="ru-RU"/>
        </w:rPr>
        <w:t xml:space="preserve"> – 0,13 </w:t>
      </w:r>
      <w:proofErr w:type="spellStart"/>
      <w:r w:rsidRPr="00BC3EA2">
        <w:rPr>
          <w:rFonts w:cs="Times New Roman"/>
          <w:w w:val="105"/>
          <w:lang w:bidi="ru-RU"/>
        </w:rPr>
        <w:t>млрд.руб</w:t>
      </w:r>
      <w:proofErr w:type="spellEnd"/>
      <w:r w:rsidRPr="00BC3EA2">
        <w:rPr>
          <w:rFonts w:cs="Times New Roman"/>
          <w:w w:val="105"/>
          <w:lang w:bidi="ru-RU"/>
        </w:rPr>
        <w:t>.</w:t>
      </w:r>
    </w:p>
    <w:p w:rsidR="00C1744C" w:rsidRPr="00BC3EA2" w:rsidRDefault="00C1744C" w:rsidP="00C1744C">
      <w:pPr>
        <w:widowControl w:val="0"/>
        <w:autoSpaceDE w:val="0"/>
        <w:autoSpaceDN w:val="0"/>
        <w:ind w:right="42" w:firstLine="567"/>
        <w:jc w:val="both"/>
        <w:rPr>
          <w:rFonts w:cs="Times New Roman"/>
          <w:w w:val="105"/>
          <w:lang w:bidi="ru-RU"/>
        </w:rPr>
      </w:pPr>
      <w:r w:rsidRPr="00BC3EA2">
        <w:rPr>
          <w:rFonts w:cs="Times New Roman"/>
          <w:w w:val="105"/>
          <w:lang w:bidi="ru-RU"/>
        </w:rPr>
        <w:t xml:space="preserve">В 2022 году продолжилось строительство центра </w:t>
      </w:r>
      <w:proofErr w:type="spellStart"/>
      <w:r w:rsidRPr="00BC3EA2">
        <w:rPr>
          <w:rFonts w:cs="Times New Roman"/>
          <w:w w:val="105"/>
          <w:lang w:bidi="ru-RU"/>
        </w:rPr>
        <w:t>омниканальной</w:t>
      </w:r>
      <w:proofErr w:type="spellEnd"/>
      <w:r w:rsidRPr="00BC3EA2">
        <w:rPr>
          <w:rFonts w:cs="Times New Roman"/>
          <w:w w:val="105"/>
          <w:lang w:bidi="ru-RU"/>
        </w:rPr>
        <w:t xml:space="preserve"> торговли «</w:t>
      </w:r>
      <w:proofErr w:type="spellStart"/>
      <w:r w:rsidRPr="00BC3EA2">
        <w:rPr>
          <w:rFonts w:cs="Times New Roman"/>
          <w:w w:val="105"/>
          <w:lang w:bidi="ru-RU"/>
        </w:rPr>
        <w:t>Вайлберриз</w:t>
      </w:r>
      <w:proofErr w:type="spellEnd"/>
      <w:r w:rsidRPr="00BC3EA2">
        <w:rPr>
          <w:rFonts w:cs="Times New Roman"/>
          <w:w w:val="105"/>
          <w:lang w:bidi="ru-RU"/>
        </w:rPr>
        <w:t xml:space="preserve">», объем инвестиций за 2022 г. составил 9,069 </w:t>
      </w:r>
      <w:proofErr w:type="spellStart"/>
      <w:r w:rsidRPr="00BC3EA2">
        <w:rPr>
          <w:rFonts w:cs="Times New Roman"/>
          <w:w w:val="105"/>
          <w:lang w:bidi="ru-RU"/>
        </w:rPr>
        <w:t>млрд.руб</w:t>
      </w:r>
      <w:proofErr w:type="spellEnd"/>
      <w:r w:rsidRPr="00BC3EA2">
        <w:rPr>
          <w:rFonts w:cs="Times New Roman"/>
          <w:w w:val="105"/>
          <w:lang w:bidi="ru-RU"/>
        </w:rPr>
        <w:t>. Также значительный объем инвестиций освоили предприятия городского округа, осуществляющие свою деятельность в сфере обрабатывающего производства, в том числе АО «МСЗ» - годовой объем инвестиций составил 1,9 млрд. руб.</w:t>
      </w:r>
    </w:p>
    <w:p w:rsidR="00C1744C" w:rsidRPr="00BC3EA2" w:rsidRDefault="00C1744C" w:rsidP="00C1744C">
      <w:pPr>
        <w:widowControl w:val="0"/>
        <w:autoSpaceDE w:val="0"/>
        <w:autoSpaceDN w:val="0"/>
        <w:ind w:right="42" w:firstLine="567"/>
        <w:jc w:val="both"/>
        <w:rPr>
          <w:rFonts w:cs="Times New Roman"/>
          <w:w w:val="105"/>
          <w:lang w:bidi="ru-RU"/>
        </w:rPr>
      </w:pPr>
      <w:r w:rsidRPr="00BC3EA2">
        <w:rPr>
          <w:rFonts w:cs="Times New Roman"/>
          <w:w w:val="105"/>
          <w:lang w:bidi="ru-RU"/>
        </w:rPr>
        <w:t xml:space="preserve">В 2022 году продолжилось строительство производственного комплекса по </w:t>
      </w:r>
      <w:r w:rsidRPr="00BC3EA2">
        <w:rPr>
          <w:rFonts w:cs="Times New Roman"/>
          <w:w w:val="105"/>
          <w:lang w:bidi="ru-RU"/>
        </w:rPr>
        <w:lastRenderedPageBreak/>
        <w:t xml:space="preserve">изготовлению </w:t>
      </w:r>
      <w:proofErr w:type="spellStart"/>
      <w:r w:rsidRPr="00BC3EA2">
        <w:rPr>
          <w:rFonts w:cs="Times New Roman"/>
          <w:w w:val="105"/>
          <w:lang w:bidi="ru-RU"/>
        </w:rPr>
        <w:t>полотенцесушителей</w:t>
      </w:r>
      <w:proofErr w:type="spellEnd"/>
      <w:r w:rsidRPr="00BC3EA2">
        <w:rPr>
          <w:rFonts w:cs="Times New Roman"/>
          <w:w w:val="105"/>
          <w:lang w:bidi="ru-RU"/>
        </w:rPr>
        <w:t xml:space="preserve"> ООО «ЭНЕРГЕТИК», объем инвестиций за 2022 год составил 1,3 млрд. руб., продолжается реализовываться проект по строительству магазина цветов ИП </w:t>
      </w:r>
      <w:proofErr w:type="spellStart"/>
      <w:r w:rsidRPr="00BC3EA2">
        <w:rPr>
          <w:rFonts w:cs="Times New Roman"/>
          <w:w w:val="105"/>
          <w:lang w:bidi="ru-RU"/>
        </w:rPr>
        <w:t>Терскова</w:t>
      </w:r>
      <w:proofErr w:type="spellEnd"/>
      <w:r w:rsidRPr="00BC3EA2">
        <w:rPr>
          <w:rFonts w:cs="Times New Roman"/>
          <w:w w:val="105"/>
          <w:lang w:bidi="ru-RU"/>
        </w:rPr>
        <w:t xml:space="preserve"> Ирина Владимировна, инвестиции составили 7 млн. руб.; провели реконструкцию автозаправочного комплекса ООО «Торговый Дом </w:t>
      </w:r>
      <w:proofErr w:type="spellStart"/>
      <w:r w:rsidRPr="00BC3EA2">
        <w:rPr>
          <w:rFonts w:cs="Times New Roman"/>
          <w:w w:val="105"/>
          <w:lang w:bidi="ru-RU"/>
        </w:rPr>
        <w:t>Нефтьмагистраль</w:t>
      </w:r>
      <w:proofErr w:type="spellEnd"/>
      <w:r w:rsidRPr="00BC3EA2">
        <w:rPr>
          <w:rFonts w:cs="Times New Roman"/>
          <w:w w:val="105"/>
          <w:lang w:bidi="ru-RU"/>
        </w:rPr>
        <w:t xml:space="preserve">», объем инвестиций за 2022 год составил 144  млн. руб., завершилось строительство производственно-складского здания ЗАО ТПК «ЭЛКО», площадью                   7 800 </w:t>
      </w:r>
      <w:proofErr w:type="spellStart"/>
      <w:r w:rsidRPr="00BC3EA2">
        <w:rPr>
          <w:rFonts w:cs="Times New Roman"/>
          <w:w w:val="105"/>
          <w:lang w:bidi="ru-RU"/>
        </w:rPr>
        <w:t>кв.м</w:t>
      </w:r>
      <w:proofErr w:type="spellEnd"/>
      <w:r w:rsidRPr="00BC3EA2">
        <w:rPr>
          <w:rFonts w:cs="Times New Roman"/>
          <w:w w:val="105"/>
          <w:lang w:bidi="ru-RU"/>
        </w:rPr>
        <w:t>., объем инвестиций составил 306,9 млн. руб., продолжилось строительство производственно-складского комплекса ООО «</w:t>
      </w:r>
      <w:proofErr w:type="spellStart"/>
      <w:r w:rsidRPr="00BC3EA2">
        <w:rPr>
          <w:rFonts w:cs="Times New Roman"/>
          <w:w w:val="105"/>
          <w:lang w:bidi="ru-RU"/>
        </w:rPr>
        <w:t>МасТТех</w:t>
      </w:r>
      <w:proofErr w:type="spellEnd"/>
      <w:r w:rsidRPr="00BC3EA2">
        <w:rPr>
          <w:rFonts w:cs="Times New Roman"/>
          <w:w w:val="105"/>
          <w:lang w:bidi="ru-RU"/>
        </w:rPr>
        <w:t xml:space="preserve">», объем инвестиций за 2022 год  10,6  млн. руб., продолжилась реконструкция существующих зданий                                           ООО «М.Р.И.С. Групп»,  объем инвестиций за 2022 год - 70,0 </w:t>
      </w:r>
      <w:proofErr w:type="spellStart"/>
      <w:r w:rsidRPr="00BC3EA2">
        <w:rPr>
          <w:rFonts w:cs="Times New Roman"/>
          <w:w w:val="105"/>
          <w:lang w:bidi="ru-RU"/>
        </w:rPr>
        <w:t>млн.руб</w:t>
      </w:r>
      <w:proofErr w:type="spellEnd"/>
      <w:r w:rsidRPr="00BC3EA2">
        <w:rPr>
          <w:rFonts w:cs="Times New Roman"/>
          <w:w w:val="105"/>
          <w:lang w:bidi="ru-RU"/>
        </w:rPr>
        <w:t xml:space="preserve">. </w:t>
      </w:r>
    </w:p>
    <w:p w:rsidR="00C1744C" w:rsidRPr="00BC3EA2" w:rsidRDefault="00C1744C" w:rsidP="00C1744C">
      <w:pPr>
        <w:widowControl w:val="0"/>
        <w:autoSpaceDE w:val="0"/>
        <w:autoSpaceDN w:val="0"/>
        <w:ind w:right="42" w:firstLine="567"/>
        <w:jc w:val="both"/>
        <w:rPr>
          <w:rFonts w:cs="Times New Roman"/>
          <w:w w:val="105"/>
          <w:lang w:bidi="ru-RU"/>
        </w:rPr>
      </w:pPr>
      <w:r w:rsidRPr="00BC3EA2">
        <w:rPr>
          <w:rFonts w:cs="Times New Roman"/>
          <w:w w:val="105"/>
          <w:lang w:bidi="ru-RU"/>
        </w:rPr>
        <w:t>Кроме того, в 2022 году продолжилась реализация проекта по созданию производства компьютеров, электронных и оптических изделий ООО «Дэнни», началась реализация проекта по строительству медицинского центра ООО «</w:t>
      </w:r>
      <w:proofErr w:type="spellStart"/>
      <w:r w:rsidRPr="00BC3EA2">
        <w:rPr>
          <w:rFonts w:cs="Times New Roman"/>
          <w:w w:val="105"/>
          <w:lang w:bidi="ru-RU"/>
        </w:rPr>
        <w:t>Эльвизус</w:t>
      </w:r>
      <w:proofErr w:type="spellEnd"/>
      <w:r w:rsidRPr="00BC3EA2">
        <w:rPr>
          <w:rFonts w:cs="Times New Roman"/>
          <w:w w:val="105"/>
          <w:lang w:bidi="ru-RU"/>
        </w:rPr>
        <w:t>».</w:t>
      </w:r>
    </w:p>
    <w:p w:rsidR="00C1744C" w:rsidRPr="00BC3EA2" w:rsidRDefault="00C1744C" w:rsidP="00C1744C">
      <w:pPr>
        <w:ind w:firstLine="567"/>
        <w:jc w:val="both"/>
        <w:rPr>
          <w:rFonts w:cs="Times New Roman"/>
          <w:w w:val="105"/>
          <w:lang w:bidi="ru-RU"/>
        </w:rPr>
      </w:pPr>
      <w:r w:rsidRPr="00BC3EA2">
        <w:rPr>
          <w:rFonts w:cs="Times New Roman"/>
          <w:w w:val="105"/>
          <w:lang w:bidi="ru-RU"/>
        </w:rPr>
        <w:t xml:space="preserve">В первом полугодии 2023 года объем инвестиций по крупным и средним организациям городского округа составил 1,96 </w:t>
      </w:r>
      <w:proofErr w:type="spellStart"/>
      <w:r w:rsidRPr="00BC3EA2">
        <w:rPr>
          <w:rFonts w:cs="Times New Roman"/>
          <w:w w:val="105"/>
          <w:lang w:bidi="ru-RU"/>
        </w:rPr>
        <w:t>млрд.руб</w:t>
      </w:r>
      <w:proofErr w:type="spellEnd"/>
      <w:r w:rsidRPr="00BC3EA2">
        <w:rPr>
          <w:rFonts w:cs="Times New Roman"/>
          <w:w w:val="105"/>
          <w:lang w:bidi="ru-RU"/>
        </w:rPr>
        <w:t>., снижение по сравнению с аналогичным периодом 2022 года на 77,83%. Причина снижения - уменьшение объемов инвестиций ООО «</w:t>
      </w:r>
      <w:proofErr w:type="spellStart"/>
      <w:r w:rsidRPr="00BC3EA2">
        <w:rPr>
          <w:rFonts w:cs="Times New Roman"/>
          <w:w w:val="105"/>
          <w:lang w:bidi="ru-RU"/>
        </w:rPr>
        <w:t>Вайлдберриз</w:t>
      </w:r>
      <w:proofErr w:type="spellEnd"/>
      <w:r w:rsidRPr="00BC3EA2">
        <w:rPr>
          <w:rFonts w:cs="Times New Roman"/>
          <w:w w:val="105"/>
          <w:lang w:bidi="ru-RU"/>
        </w:rPr>
        <w:t>». Основной объем инвестиций был освоен компанией в 2022 году, в 2023 году планируется ввод в эксплуатация построенных складов и центра обработки данных. Кроме того, планируется продолжать модернизацию производства средств защиты органов дыхания ОАО «ЭХМЗ им. Н.Д. Зелинского», реконструкцию и модернизацию предприятия атомной отрасли АО «Машиностроительный завод», модернизацию и техническое перевооружение металлургического производства АО «Металлургический завод «Электросталь».</w:t>
      </w:r>
    </w:p>
    <w:p w:rsidR="00C1744C" w:rsidRPr="00BC3EA2" w:rsidRDefault="00C1744C" w:rsidP="00C1744C">
      <w:pPr>
        <w:ind w:firstLine="567"/>
        <w:jc w:val="both"/>
        <w:rPr>
          <w:rFonts w:cs="Times New Roman"/>
          <w:w w:val="105"/>
          <w:lang w:bidi="ru-RU"/>
        </w:rPr>
      </w:pPr>
      <w:r w:rsidRPr="00BC3EA2">
        <w:rPr>
          <w:rFonts w:cs="Times New Roman"/>
          <w:w w:val="105"/>
          <w:lang w:bidi="ru-RU"/>
        </w:rPr>
        <w:t>В малом предпринимательстве в 2023 году планируется завершить начатые в 2021-2022 годах инвестиционные проекты.</w:t>
      </w:r>
    </w:p>
    <w:p w:rsidR="00C1744C" w:rsidRPr="00BC3EA2" w:rsidRDefault="00C1744C" w:rsidP="00C1744C">
      <w:pPr>
        <w:ind w:firstLine="567"/>
        <w:jc w:val="both"/>
        <w:rPr>
          <w:rFonts w:cs="Times New Roman"/>
          <w:w w:val="105"/>
          <w:lang w:bidi="ru-RU"/>
        </w:rPr>
      </w:pPr>
      <w:r w:rsidRPr="00BC3EA2">
        <w:rPr>
          <w:rFonts w:cs="Times New Roman"/>
          <w:w w:val="105"/>
          <w:lang w:bidi="ru-RU"/>
        </w:rPr>
        <w:t xml:space="preserve">Объем инвестиций </w:t>
      </w:r>
      <w:r w:rsidRPr="00BC3EA2">
        <w:rPr>
          <w:w w:val="105"/>
        </w:rPr>
        <w:t>в основной капитал за счет всех источников финансирования</w:t>
      </w:r>
      <w:r w:rsidRPr="00BC3EA2">
        <w:rPr>
          <w:rFonts w:cs="Times New Roman"/>
          <w:w w:val="105"/>
          <w:lang w:bidi="ru-RU"/>
        </w:rPr>
        <w:t xml:space="preserve"> за 2023 год оценочно составит 8 </w:t>
      </w:r>
      <w:proofErr w:type="spellStart"/>
      <w:r w:rsidRPr="00BC3EA2">
        <w:rPr>
          <w:rFonts w:cs="Times New Roman"/>
          <w:w w:val="105"/>
          <w:lang w:bidi="ru-RU"/>
        </w:rPr>
        <w:t>млрд.руб</w:t>
      </w:r>
      <w:proofErr w:type="spellEnd"/>
      <w:r w:rsidRPr="00BC3EA2">
        <w:rPr>
          <w:rFonts w:cs="Times New Roman"/>
          <w:w w:val="105"/>
          <w:lang w:bidi="ru-RU"/>
        </w:rPr>
        <w:t>.</w:t>
      </w:r>
    </w:p>
    <w:p w:rsidR="00C1744C" w:rsidRPr="00BC3EA2" w:rsidRDefault="00C1744C" w:rsidP="00C1744C">
      <w:pPr>
        <w:ind w:firstLine="567"/>
        <w:jc w:val="both"/>
        <w:rPr>
          <w:rFonts w:cs="Times New Roman"/>
          <w:w w:val="105"/>
          <w:lang w:bidi="ru-RU"/>
        </w:rPr>
      </w:pPr>
      <w:r w:rsidRPr="00BC3EA2">
        <w:rPr>
          <w:rFonts w:cs="Times New Roman"/>
          <w:w w:val="105"/>
          <w:lang w:bidi="ru-RU"/>
        </w:rPr>
        <w:t xml:space="preserve">Снижение темпов роста объема инвестиций по крупным и средним организациям городского округа Электросталь в прогнозном периоде 2024-2026 годов обусловлено небольшим ростом объемов инвестиций, которые планируют освоить крупнейшие предприятия, и завершением в текущем периоде строительства центра </w:t>
      </w:r>
      <w:proofErr w:type="spellStart"/>
      <w:r w:rsidRPr="00BC3EA2">
        <w:rPr>
          <w:rFonts w:cs="Times New Roman"/>
          <w:w w:val="105"/>
          <w:lang w:bidi="ru-RU"/>
        </w:rPr>
        <w:t>омниканальной</w:t>
      </w:r>
      <w:proofErr w:type="spellEnd"/>
      <w:r w:rsidRPr="00BC3EA2">
        <w:rPr>
          <w:rFonts w:cs="Times New Roman"/>
          <w:w w:val="105"/>
          <w:lang w:bidi="ru-RU"/>
        </w:rPr>
        <w:t xml:space="preserve"> оптовой торговли «</w:t>
      </w:r>
      <w:proofErr w:type="spellStart"/>
      <w:r w:rsidRPr="00BC3EA2">
        <w:rPr>
          <w:rFonts w:cs="Times New Roman"/>
          <w:w w:val="105"/>
          <w:lang w:bidi="ru-RU"/>
        </w:rPr>
        <w:t>Вайлдберриз</w:t>
      </w:r>
      <w:proofErr w:type="spellEnd"/>
      <w:r w:rsidRPr="00BC3EA2">
        <w:rPr>
          <w:rFonts w:cs="Times New Roman"/>
          <w:w w:val="105"/>
          <w:lang w:bidi="ru-RU"/>
        </w:rPr>
        <w:t>».  Строительство крупных промышленных и торговых объектов на территории городского округа в прогнозный период не планируется.</w:t>
      </w:r>
    </w:p>
    <w:p w:rsidR="00C1744C" w:rsidRPr="00BC3EA2" w:rsidRDefault="00C1744C" w:rsidP="00C1744C">
      <w:pPr>
        <w:ind w:firstLine="567"/>
        <w:jc w:val="both"/>
        <w:rPr>
          <w:rFonts w:cs="Times New Roman"/>
          <w:w w:val="105"/>
        </w:rPr>
      </w:pPr>
      <w:r w:rsidRPr="00BC3EA2">
        <w:rPr>
          <w:rFonts w:cs="Times New Roman"/>
          <w:w w:val="105"/>
          <w:lang w:bidi="ru-RU"/>
        </w:rPr>
        <w:t xml:space="preserve"> </w:t>
      </w:r>
      <w:r w:rsidRPr="00BC3EA2">
        <w:rPr>
          <w:rFonts w:cs="Times New Roman"/>
          <w:w w:val="105"/>
        </w:rPr>
        <w:t xml:space="preserve">Основные направления деятельности по привлечению инвестиций: </w:t>
      </w:r>
    </w:p>
    <w:p w:rsidR="00C1744C" w:rsidRPr="00BC3EA2" w:rsidRDefault="00C1744C" w:rsidP="00C1744C">
      <w:pPr>
        <w:ind w:firstLine="567"/>
        <w:jc w:val="both"/>
        <w:rPr>
          <w:rFonts w:cs="Times New Roman"/>
          <w:w w:val="105"/>
        </w:rPr>
      </w:pPr>
      <w:r w:rsidRPr="00BC3EA2">
        <w:rPr>
          <w:rFonts w:cs="Times New Roman"/>
          <w:w w:val="105"/>
        </w:rPr>
        <w:t xml:space="preserve">- развитие индустриального парка «Металлург»; </w:t>
      </w:r>
    </w:p>
    <w:p w:rsidR="00C1744C" w:rsidRPr="00BC3EA2" w:rsidRDefault="00C1744C" w:rsidP="00C1744C">
      <w:pPr>
        <w:ind w:firstLine="567"/>
        <w:jc w:val="both"/>
        <w:rPr>
          <w:rFonts w:cs="Times New Roman"/>
          <w:w w:val="105"/>
        </w:rPr>
      </w:pPr>
      <w:r w:rsidRPr="00BC3EA2">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C1744C" w:rsidRPr="00BC3EA2" w:rsidRDefault="00C1744C" w:rsidP="00C1744C">
      <w:pPr>
        <w:ind w:firstLine="567"/>
        <w:jc w:val="both"/>
        <w:rPr>
          <w:rFonts w:cs="Times New Roman"/>
          <w:w w:val="105"/>
        </w:rPr>
      </w:pPr>
      <w:r w:rsidRPr="00BC3EA2">
        <w:rPr>
          <w:rFonts w:cs="Times New Roman"/>
          <w:w w:val="105"/>
        </w:rPr>
        <w:t>- информирование предпринимателей о мерах государственной и муниципальной поддержки;</w:t>
      </w:r>
    </w:p>
    <w:p w:rsidR="00C1744C" w:rsidRPr="00BC3EA2" w:rsidRDefault="00C1744C" w:rsidP="00C1744C">
      <w:pPr>
        <w:ind w:firstLine="567"/>
        <w:jc w:val="both"/>
        <w:rPr>
          <w:rFonts w:cs="Times New Roman"/>
          <w:w w:val="105"/>
        </w:rPr>
      </w:pPr>
      <w:r w:rsidRPr="00BC3EA2">
        <w:rPr>
          <w:rFonts w:cs="Times New Roman"/>
          <w:w w:val="105"/>
        </w:rPr>
        <w:t>- сопровождение инвестиционных проектов малого и среднего предпринимательства;</w:t>
      </w:r>
    </w:p>
    <w:p w:rsidR="00C1744C" w:rsidRPr="00BC3EA2" w:rsidRDefault="00C1744C" w:rsidP="00C1744C">
      <w:pPr>
        <w:ind w:firstLine="567"/>
        <w:jc w:val="both"/>
        <w:rPr>
          <w:rFonts w:cs="Times New Roman"/>
          <w:w w:val="105"/>
        </w:rPr>
      </w:pPr>
      <w:r w:rsidRPr="00BC3EA2">
        <w:rPr>
          <w:rFonts w:cs="Times New Roman"/>
          <w:w w:val="105"/>
        </w:rPr>
        <w:t>- развитие государственно-частного партнерства (</w:t>
      </w:r>
      <w:proofErr w:type="spellStart"/>
      <w:r w:rsidRPr="00BC3EA2">
        <w:rPr>
          <w:rFonts w:cs="Times New Roman"/>
          <w:w w:val="105"/>
        </w:rPr>
        <w:t>муниципально</w:t>
      </w:r>
      <w:proofErr w:type="spellEnd"/>
      <w:r w:rsidRPr="00BC3EA2">
        <w:rPr>
          <w:rFonts w:cs="Times New Roman"/>
          <w:w w:val="105"/>
        </w:rPr>
        <w:t>-частного партнерства), концессионных соглашений и пр.</w:t>
      </w:r>
    </w:p>
    <w:p w:rsidR="00C1744C" w:rsidRPr="00BC3EA2" w:rsidRDefault="00C1744C" w:rsidP="00C1744C">
      <w:pPr>
        <w:ind w:firstLine="567"/>
        <w:jc w:val="both"/>
        <w:rPr>
          <w:rFonts w:cs="Times New Roman"/>
          <w:b/>
          <w:i/>
        </w:rPr>
      </w:pPr>
    </w:p>
    <w:p w:rsidR="00C1744C" w:rsidRPr="00BC3EA2" w:rsidRDefault="00C1744C" w:rsidP="00C1744C">
      <w:pPr>
        <w:ind w:firstLine="567"/>
        <w:jc w:val="both"/>
        <w:rPr>
          <w:rFonts w:cs="Times New Roman"/>
          <w:b/>
          <w:bCs/>
        </w:rPr>
      </w:pPr>
      <w:r w:rsidRPr="00BC3EA2">
        <w:rPr>
          <w:rFonts w:cs="Times New Roman"/>
          <w:b/>
          <w:bCs/>
        </w:rPr>
        <w:t>Строительство.</w:t>
      </w:r>
    </w:p>
    <w:p w:rsidR="00C1744C" w:rsidRPr="00BC3EA2" w:rsidRDefault="00C1744C" w:rsidP="00C1744C">
      <w:pPr>
        <w:ind w:firstLine="708"/>
        <w:jc w:val="both"/>
        <w:rPr>
          <w:rFonts w:cs="Times New Roman"/>
        </w:rPr>
      </w:pPr>
      <w:r w:rsidRPr="00BC3EA2">
        <w:t xml:space="preserve">В 2022 объем жилищного строительства в городском округе составил 38,81 </w:t>
      </w:r>
      <w:proofErr w:type="spellStart"/>
      <w:r w:rsidRPr="00BC3EA2">
        <w:t>тыс.кв.метров</w:t>
      </w:r>
      <w:proofErr w:type="spellEnd"/>
      <w:r w:rsidRPr="00BC3EA2">
        <w:t xml:space="preserve">, </w:t>
      </w:r>
      <w:r w:rsidRPr="00BC3EA2">
        <w:rPr>
          <w:rFonts w:cs="Times New Roman"/>
        </w:rPr>
        <w:t xml:space="preserve">введен в эксплуатацию </w:t>
      </w:r>
      <w:proofErr w:type="spellStart"/>
      <w:r w:rsidRPr="00BC3EA2">
        <w:rPr>
          <w:rFonts w:cs="Times New Roman"/>
        </w:rPr>
        <w:t>мнгоквартирный</w:t>
      </w:r>
      <w:proofErr w:type="spellEnd"/>
      <w:r w:rsidRPr="00BC3EA2">
        <w:rPr>
          <w:rFonts w:cs="Times New Roman"/>
        </w:rPr>
        <w:t xml:space="preserve"> дом (далее – МКД) по ул. Захарченко, площадью 33,16 </w:t>
      </w:r>
      <w:proofErr w:type="spellStart"/>
      <w:r w:rsidRPr="00BC3EA2">
        <w:rPr>
          <w:rFonts w:cs="Times New Roman"/>
        </w:rPr>
        <w:t>тыс.кв.м</w:t>
      </w:r>
      <w:proofErr w:type="spellEnd"/>
      <w:r w:rsidRPr="00BC3EA2">
        <w:rPr>
          <w:rFonts w:cs="Times New Roman"/>
        </w:rPr>
        <w:t xml:space="preserve"> (застройщик АО СЗ «Виктория </w:t>
      </w:r>
      <w:proofErr w:type="spellStart"/>
      <w:r w:rsidRPr="00BC3EA2">
        <w:rPr>
          <w:rFonts w:cs="Times New Roman"/>
        </w:rPr>
        <w:t>девелопмент</w:t>
      </w:r>
      <w:proofErr w:type="spellEnd"/>
      <w:r w:rsidRPr="00BC3EA2">
        <w:rPr>
          <w:rFonts w:cs="Times New Roman"/>
        </w:rPr>
        <w:t xml:space="preserve">»), </w:t>
      </w:r>
      <w:bookmarkStart w:id="1" w:name="_Hlk148884891"/>
      <w:r w:rsidRPr="00BC3EA2">
        <w:rPr>
          <w:rFonts w:cs="Times New Roman"/>
        </w:rPr>
        <w:t>ввод общей площади жилых домов, построенных населением</w:t>
      </w:r>
      <w:bookmarkEnd w:id="1"/>
      <w:r w:rsidRPr="00BC3EA2">
        <w:rPr>
          <w:rFonts w:cs="Times New Roman"/>
        </w:rPr>
        <w:t xml:space="preserve"> составил 5,65 </w:t>
      </w:r>
      <w:proofErr w:type="spellStart"/>
      <w:r w:rsidRPr="00BC3EA2">
        <w:rPr>
          <w:rFonts w:cs="Times New Roman"/>
        </w:rPr>
        <w:t>тыс.кв.метров</w:t>
      </w:r>
      <w:proofErr w:type="spellEnd"/>
      <w:r w:rsidRPr="00BC3EA2">
        <w:rPr>
          <w:rFonts w:cs="Times New Roman"/>
        </w:rPr>
        <w:t>.</w:t>
      </w:r>
    </w:p>
    <w:p w:rsidR="00C1744C" w:rsidRPr="00BC3EA2" w:rsidRDefault="00C1744C" w:rsidP="00C1744C">
      <w:pPr>
        <w:ind w:firstLine="708"/>
        <w:jc w:val="both"/>
      </w:pPr>
      <w:r w:rsidRPr="00BC3EA2">
        <w:rPr>
          <w:rFonts w:cs="Times New Roman"/>
        </w:rPr>
        <w:t xml:space="preserve">В 2023 году ввод жилья в МКД не планируется, ввод общей площади жилых домов, построенных населением оценочно составит 5,4 </w:t>
      </w:r>
      <w:proofErr w:type="spellStart"/>
      <w:r w:rsidRPr="00BC3EA2">
        <w:rPr>
          <w:rFonts w:cs="Times New Roman"/>
        </w:rPr>
        <w:t>тыс.кв.м</w:t>
      </w:r>
      <w:proofErr w:type="spellEnd"/>
      <w:r w:rsidRPr="00BC3EA2">
        <w:rPr>
          <w:rFonts w:cs="Times New Roman"/>
        </w:rPr>
        <w:t xml:space="preserve">. </w:t>
      </w:r>
    </w:p>
    <w:p w:rsidR="00C1744C" w:rsidRPr="00BC3EA2" w:rsidRDefault="00C1744C" w:rsidP="00C1744C">
      <w:pPr>
        <w:ind w:firstLine="709"/>
        <w:jc w:val="both"/>
        <w:rPr>
          <w:rFonts w:cs="Times New Roman"/>
        </w:rPr>
      </w:pPr>
      <w:r w:rsidRPr="00BC3EA2">
        <w:rPr>
          <w:rFonts w:cs="Times New Roman"/>
        </w:rPr>
        <w:lastRenderedPageBreak/>
        <w:t xml:space="preserve">В 2024 году планируется ввести в эксплуатацию 12,9 </w:t>
      </w:r>
      <w:proofErr w:type="spellStart"/>
      <w:r w:rsidRPr="00BC3EA2">
        <w:rPr>
          <w:rFonts w:cs="Times New Roman"/>
        </w:rPr>
        <w:t>тыс.кв</w:t>
      </w:r>
      <w:proofErr w:type="spellEnd"/>
      <w:r w:rsidRPr="00BC3EA2">
        <w:rPr>
          <w:rFonts w:cs="Times New Roman"/>
        </w:rPr>
        <w:t xml:space="preserve">. м жилья, в том числе: 6,7 </w:t>
      </w:r>
      <w:proofErr w:type="spellStart"/>
      <w:r w:rsidRPr="00BC3EA2">
        <w:rPr>
          <w:rFonts w:cs="Times New Roman"/>
        </w:rPr>
        <w:t>тыс.кв.м</w:t>
      </w:r>
      <w:proofErr w:type="spellEnd"/>
      <w:r w:rsidRPr="00BC3EA2">
        <w:rPr>
          <w:rFonts w:cs="Times New Roman"/>
        </w:rPr>
        <w:t xml:space="preserve"> жилья в МКД по пр. Рабочий, 8 (</w:t>
      </w:r>
      <w:proofErr w:type="spellStart"/>
      <w:r w:rsidRPr="00BC3EA2">
        <w:rPr>
          <w:rFonts w:cs="Times New Roman"/>
        </w:rPr>
        <w:t>стр</w:t>
      </w:r>
      <w:proofErr w:type="spellEnd"/>
      <w:r w:rsidRPr="00BC3EA2">
        <w:rPr>
          <w:rFonts w:cs="Times New Roman"/>
        </w:rPr>
        <w:t xml:space="preserve">), застройщик АО СЗ «Виктория </w:t>
      </w:r>
      <w:proofErr w:type="spellStart"/>
      <w:r w:rsidRPr="00BC3EA2">
        <w:rPr>
          <w:rFonts w:cs="Times New Roman"/>
        </w:rPr>
        <w:t>девелопмент</w:t>
      </w:r>
      <w:proofErr w:type="spellEnd"/>
      <w:r w:rsidRPr="00BC3EA2">
        <w:rPr>
          <w:rFonts w:cs="Times New Roman"/>
        </w:rPr>
        <w:t xml:space="preserve">», а также 6,2 тыс. </w:t>
      </w:r>
      <w:proofErr w:type="spellStart"/>
      <w:r w:rsidRPr="00BC3EA2">
        <w:rPr>
          <w:rFonts w:cs="Times New Roman"/>
        </w:rPr>
        <w:t>кв.м</w:t>
      </w:r>
      <w:proofErr w:type="spellEnd"/>
      <w:r w:rsidRPr="00BC3EA2">
        <w:rPr>
          <w:rFonts w:cs="Times New Roman"/>
        </w:rPr>
        <w:t xml:space="preserve"> жилья, построенного населением.</w:t>
      </w:r>
    </w:p>
    <w:p w:rsidR="00C1744C" w:rsidRPr="00BC3EA2" w:rsidRDefault="00C1744C" w:rsidP="00C1744C">
      <w:pPr>
        <w:ind w:firstLine="709"/>
        <w:jc w:val="both"/>
        <w:rPr>
          <w:rFonts w:cs="Times New Roman"/>
        </w:rPr>
      </w:pPr>
      <w:r w:rsidRPr="00BC3EA2">
        <w:rPr>
          <w:rFonts w:cs="Times New Roman"/>
        </w:rPr>
        <w:t xml:space="preserve">В 2025 году планируется ввести в эксплуатацию 6,4 </w:t>
      </w:r>
      <w:proofErr w:type="spellStart"/>
      <w:r w:rsidRPr="00BC3EA2">
        <w:rPr>
          <w:rFonts w:cs="Times New Roman"/>
        </w:rPr>
        <w:t>тыс.кв.м</w:t>
      </w:r>
      <w:proofErr w:type="spellEnd"/>
      <w:r w:rsidRPr="00BC3EA2">
        <w:rPr>
          <w:rFonts w:cs="Times New Roman"/>
        </w:rPr>
        <w:t xml:space="preserve"> жилья, построенного населением.</w:t>
      </w:r>
    </w:p>
    <w:p w:rsidR="00C1744C" w:rsidRPr="00BC3EA2" w:rsidRDefault="00C1744C" w:rsidP="00C1744C">
      <w:pPr>
        <w:ind w:firstLine="709"/>
        <w:jc w:val="both"/>
        <w:rPr>
          <w:rFonts w:cs="Times New Roman"/>
        </w:rPr>
      </w:pPr>
      <w:r w:rsidRPr="00BC3EA2">
        <w:rPr>
          <w:rFonts w:cs="Times New Roman"/>
        </w:rPr>
        <w:t xml:space="preserve">В 2026 году планируется ввести в эксплуатацию 45,36 </w:t>
      </w:r>
      <w:proofErr w:type="spellStart"/>
      <w:r w:rsidRPr="00BC3EA2">
        <w:rPr>
          <w:rFonts w:cs="Times New Roman"/>
        </w:rPr>
        <w:t>тыс.кв</w:t>
      </w:r>
      <w:proofErr w:type="spellEnd"/>
      <w:r w:rsidRPr="00BC3EA2">
        <w:rPr>
          <w:rFonts w:cs="Times New Roman"/>
        </w:rPr>
        <w:t xml:space="preserve">. м жилья, в том числе: 27,16 </w:t>
      </w:r>
      <w:proofErr w:type="spellStart"/>
      <w:r w:rsidRPr="00BC3EA2">
        <w:rPr>
          <w:rFonts w:cs="Times New Roman"/>
        </w:rPr>
        <w:t>тыс.кв.м</w:t>
      </w:r>
      <w:proofErr w:type="spellEnd"/>
      <w:r w:rsidRPr="00BC3EA2">
        <w:rPr>
          <w:rFonts w:cs="Times New Roman"/>
        </w:rPr>
        <w:t xml:space="preserve"> жилья в МКД в Северном микрорайоне и 18,2 </w:t>
      </w:r>
      <w:proofErr w:type="spellStart"/>
      <w:r w:rsidRPr="00BC3EA2">
        <w:rPr>
          <w:rFonts w:cs="Times New Roman"/>
        </w:rPr>
        <w:t>тыс.кв</w:t>
      </w:r>
      <w:proofErr w:type="spellEnd"/>
      <w:r w:rsidRPr="00BC3EA2">
        <w:rPr>
          <w:rFonts w:cs="Times New Roman"/>
        </w:rPr>
        <w:t>. м жилья, построенного населением.</w:t>
      </w:r>
    </w:p>
    <w:p w:rsidR="00C1744C" w:rsidRPr="00BC3EA2" w:rsidRDefault="00C1744C" w:rsidP="00C1744C">
      <w:pPr>
        <w:ind w:firstLine="709"/>
        <w:jc w:val="both"/>
      </w:pPr>
      <w:r w:rsidRPr="00BC3EA2">
        <w:t xml:space="preserve">Для поддержания динамики ввода жилых объектов в эксплуатацию в городском округе проводится работа по согласованию концепций развития территорий          мкр.Северный-2 и территории по </w:t>
      </w:r>
      <w:proofErr w:type="spellStart"/>
      <w:r w:rsidRPr="00BC3EA2">
        <w:t>ул.Юбилейная</w:t>
      </w:r>
      <w:proofErr w:type="spellEnd"/>
      <w:r w:rsidRPr="00BC3EA2">
        <w:t>. Кроме того, продолжится строительство микрорайона в квартале между Ногинским шоссе и проспектом Ленина.</w:t>
      </w:r>
    </w:p>
    <w:p w:rsidR="00C1744C" w:rsidRPr="00BC3EA2" w:rsidRDefault="00C1744C" w:rsidP="00C1744C">
      <w:pPr>
        <w:ind w:firstLine="709"/>
        <w:jc w:val="both"/>
      </w:pPr>
      <w:r w:rsidRPr="00BC3EA2">
        <w:t xml:space="preserve">Уровень обеспеченности населения городского округа Электросталь жильем составил в 2022 году 23,91 </w:t>
      </w:r>
      <w:proofErr w:type="spellStart"/>
      <w:r w:rsidRPr="00BC3EA2">
        <w:t>кв.м</w:t>
      </w:r>
      <w:proofErr w:type="spellEnd"/>
      <w:r w:rsidRPr="00BC3EA2">
        <w:t xml:space="preserve"> на человека, рост по сравнению с 2021 годом – 102,7%.                     В 2023 году обеспеченность населения жильем оценочно вырастет и составит 24,25 </w:t>
      </w:r>
      <w:proofErr w:type="spellStart"/>
      <w:r w:rsidRPr="00BC3EA2">
        <w:t>кв.м</w:t>
      </w:r>
      <w:proofErr w:type="spellEnd"/>
      <w:r w:rsidRPr="00BC3EA2">
        <w:t xml:space="preserve"> на человека. Рост обусловлен не только вводом в эксплуатацию жилых домов, но и уменьшением численности населения городского округа. </w:t>
      </w:r>
    </w:p>
    <w:p w:rsidR="00C1744C" w:rsidRPr="00BC3EA2" w:rsidRDefault="00C1744C" w:rsidP="00C1744C">
      <w:pPr>
        <w:ind w:firstLine="709"/>
        <w:jc w:val="both"/>
      </w:pPr>
      <w:r w:rsidRPr="00BC3EA2">
        <w:t xml:space="preserve">В 2024-2026 годах прогнозируется умеренный рост уровня обеспеченности населения жильем, к 2026 году он достигнет значения 25,62 </w:t>
      </w:r>
      <w:proofErr w:type="spellStart"/>
      <w:r w:rsidRPr="00BC3EA2">
        <w:t>кв.м</w:t>
      </w:r>
      <w:proofErr w:type="spellEnd"/>
      <w:r w:rsidRPr="00BC3EA2">
        <w:t xml:space="preserve"> на человека.</w:t>
      </w:r>
    </w:p>
    <w:p w:rsidR="00C1744C" w:rsidRPr="00BC3EA2" w:rsidRDefault="00C1744C" w:rsidP="00C1744C">
      <w:pPr>
        <w:ind w:firstLine="567"/>
        <w:jc w:val="both"/>
        <w:rPr>
          <w:rFonts w:cs="Times New Roman"/>
        </w:rPr>
      </w:pPr>
    </w:p>
    <w:p w:rsidR="00C1744C" w:rsidRPr="00BC3EA2" w:rsidRDefault="00C1744C" w:rsidP="00C1744C">
      <w:pPr>
        <w:ind w:firstLine="567"/>
        <w:jc w:val="both"/>
        <w:rPr>
          <w:rFonts w:cs="Times New Roman"/>
          <w:b/>
          <w:bCs/>
        </w:rPr>
      </w:pPr>
      <w:r w:rsidRPr="00BC3EA2">
        <w:rPr>
          <w:rFonts w:cs="Times New Roman"/>
          <w:b/>
          <w:bCs/>
        </w:rPr>
        <w:t>Труд и заработная плата</w:t>
      </w:r>
    </w:p>
    <w:p w:rsidR="00C1744C" w:rsidRPr="00BC3EA2" w:rsidRDefault="00C1744C" w:rsidP="00C1744C">
      <w:pPr>
        <w:ind w:firstLine="567"/>
        <w:jc w:val="both"/>
        <w:rPr>
          <w:rFonts w:cs="Times New Roman"/>
        </w:rPr>
      </w:pPr>
      <w:r w:rsidRPr="00BC3EA2">
        <w:rPr>
          <w:rFonts w:cs="Times New Roman"/>
        </w:rPr>
        <w:t xml:space="preserve">Рынок труда городского округа Электросталь представлен предприятиями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1744C" w:rsidRPr="00BC3EA2" w:rsidRDefault="00C1744C" w:rsidP="00C1744C">
      <w:pPr>
        <w:ind w:firstLine="567"/>
        <w:jc w:val="both"/>
        <w:rPr>
          <w:rFonts w:cs="Times New Roman"/>
        </w:rPr>
      </w:pPr>
      <w:r w:rsidRPr="00BC3EA2">
        <w:rPr>
          <w:rFonts w:cs="Times New Roman"/>
        </w:rPr>
        <w:t>Наряду с крупнейшими промышленными предприятиями на территории городского округа осуществляют деятельность предприятия малого бизнеса.</w:t>
      </w:r>
    </w:p>
    <w:p w:rsidR="00C1744C" w:rsidRPr="00BC3EA2" w:rsidRDefault="00C1744C" w:rsidP="00C1744C">
      <w:pPr>
        <w:ind w:firstLine="567"/>
        <w:jc w:val="both"/>
        <w:rPr>
          <w:rFonts w:cs="Times New Roman"/>
        </w:rPr>
      </w:pPr>
      <w:r w:rsidRPr="00BC3EA2">
        <w:rPr>
          <w:rFonts w:cs="Times New Roman"/>
        </w:rPr>
        <w:t>Предприятиями и организациями, определяющими динамику фонда заработной платы городского округа, являются крупнейшие промышленные предприятия: АО «МСЗ</w:t>
      </w:r>
      <w:proofErr w:type="gramStart"/>
      <w:r w:rsidRPr="00BC3EA2">
        <w:rPr>
          <w:rFonts w:cs="Times New Roman"/>
        </w:rPr>
        <w:t xml:space="preserve">»,   </w:t>
      </w:r>
      <w:proofErr w:type="gramEnd"/>
      <w:r w:rsidRPr="00BC3EA2">
        <w:rPr>
          <w:rFonts w:cs="Times New Roman"/>
        </w:rPr>
        <w:t xml:space="preserve">                    ОАО «ЭЗТМ», АО «МЗ «Электросталь», ОАО «ЭХМЗ», АО «502ЗРВТИ»,                                          ООО «МСЗ Механика», ООО «</w:t>
      </w:r>
      <w:proofErr w:type="spellStart"/>
      <w:r w:rsidRPr="00BC3EA2">
        <w:rPr>
          <w:rFonts w:cs="Times New Roman"/>
        </w:rPr>
        <w:t>Вайлдбериз</w:t>
      </w:r>
      <w:proofErr w:type="spellEnd"/>
      <w:r w:rsidRPr="00BC3EA2">
        <w:rPr>
          <w:rFonts w:cs="Times New Roman"/>
        </w:rPr>
        <w:t>».</w:t>
      </w:r>
    </w:p>
    <w:p w:rsidR="00C1744C" w:rsidRPr="00BC3EA2" w:rsidRDefault="00C1744C" w:rsidP="00C1744C">
      <w:pPr>
        <w:ind w:firstLine="567"/>
        <w:jc w:val="both"/>
        <w:rPr>
          <w:rFonts w:cs="Times New Roman"/>
        </w:rPr>
      </w:pPr>
      <w:r w:rsidRPr="00BC3EA2">
        <w:rPr>
          <w:rFonts w:cs="Times New Roman"/>
        </w:rPr>
        <w:t xml:space="preserve">Функционирующий на территории города малый бизнес, основным направлением деятельности которого является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представлен следующими предприятиями: предприятия группы компаний </w:t>
      </w:r>
      <w:proofErr w:type="spellStart"/>
      <w:r w:rsidRPr="00BC3EA2">
        <w:rPr>
          <w:rFonts w:cs="Times New Roman"/>
        </w:rPr>
        <w:t>Тране</w:t>
      </w:r>
      <w:proofErr w:type="spellEnd"/>
      <w:r w:rsidRPr="00BC3EA2">
        <w:rPr>
          <w:rFonts w:cs="Times New Roman"/>
        </w:rPr>
        <w:t>, ООО «</w:t>
      </w:r>
      <w:proofErr w:type="spellStart"/>
      <w:r w:rsidRPr="00BC3EA2">
        <w:rPr>
          <w:rFonts w:cs="Times New Roman"/>
        </w:rPr>
        <w:t>Терминус</w:t>
      </w:r>
      <w:proofErr w:type="spellEnd"/>
      <w:r w:rsidRPr="00BC3EA2">
        <w:rPr>
          <w:rFonts w:cs="Times New Roman"/>
        </w:rPr>
        <w:t>», ООО «</w:t>
      </w:r>
      <w:proofErr w:type="spellStart"/>
      <w:r w:rsidRPr="00BC3EA2">
        <w:rPr>
          <w:rFonts w:cs="Times New Roman"/>
        </w:rPr>
        <w:t>Русинокс</w:t>
      </w:r>
      <w:proofErr w:type="spellEnd"/>
      <w:r w:rsidRPr="00BC3EA2">
        <w:rPr>
          <w:rFonts w:cs="Times New Roman"/>
        </w:rPr>
        <w:t>», АО «ТЭСМО», ООО «</w:t>
      </w:r>
      <w:proofErr w:type="spellStart"/>
      <w:r w:rsidRPr="00BC3EA2">
        <w:rPr>
          <w:rFonts w:cs="Times New Roman"/>
        </w:rPr>
        <w:t>Промснабресурс</w:t>
      </w:r>
      <w:proofErr w:type="spellEnd"/>
      <w:r w:rsidRPr="00BC3EA2">
        <w:rPr>
          <w:rFonts w:cs="Times New Roman"/>
        </w:rPr>
        <w:t>», ЗАО «Полимер», ООО «Фабрика композитов».</w:t>
      </w:r>
    </w:p>
    <w:p w:rsidR="00C1744C" w:rsidRPr="00BC3EA2" w:rsidRDefault="00C1744C" w:rsidP="00C1744C">
      <w:pPr>
        <w:ind w:firstLine="567"/>
        <w:jc w:val="both"/>
        <w:rPr>
          <w:rFonts w:eastAsia="Calibri" w:cs="Times New Roman"/>
        </w:rPr>
      </w:pPr>
      <w:r w:rsidRPr="00BC3EA2">
        <w:rPr>
          <w:rFonts w:cs="Times New Roman"/>
          <w:shd w:val="clear" w:color="auto" w:fill="FFFFFF"/>
        </w:rPr>
        <w:t>Численность официально зарегистрированных безработных в 2022 году значительно уменьшилась по сравнению с 2021 годом и составила 290 человек (в 2021 году 548 человек). Снижение</w:t>
      </w:r>
      <w:r w:rsidRPr="00BC3EA2">
        <w:rPr>
          <w:rFonts w:eastAsia="Calibri" w:cs="Times New Roman"/>
        </w:rPr>
        <w:t xml:space="preserve"> обусловлено реализацией мероприятий по снижению напряженности на рынке труда, программы по переобучению безработных граждан и граждан, находящихся в поиске работы.</w:t>
      </w:r>
    </w:p>
    <w:p w:rsidR="00C1744C" w:rsidRPr="00BC3EA2" w:rsidRDefault="00C1744C" w:rsidP="00C1744C">
      <w:pPr>
        <w:ind w:firstLine="709"/>
        <w:jc w:val="both"/>
        <w:rPr>
          <w:rFonts w:eastAsia="Calibri" w:cs="Times New Roman"/>
        </w:rPr>
      </w:pPr>
      <w:r w:rsidRPr="00BC3EA2">
        <w:rPr>
          <w:rFonts w:eastAsia="Calibri" w:cs="Times New Roman"/>
        </w:rPr>
        <w:t>По оценке, по итогам 2023 года уровень официально зарегистрированных безработных составит 270 человек.</w:t>
      </w:r>
    </w:p>
    <w:p w:rsidR="00C1744C" w:rsidRPr="00BC3EA2" w:rsidRDefault="00C1744C" w:rsidP="00C1744C">
      <w:pPr>
        <w:ind w:firstLine="709"/>
        <w:jc w:val="both"/>
        <w:rPr>
          <w:rFonts w:eastAsia="Calibri" w:cs="Times New Roman"/>
        </w:rPr>
      </w:pPr>
      <w:r w:rsidRPr="00BC3EA2">
        <w:rPr>
          <w:rFonts w:eastAsia="Calibri" w:cs="Times New Roman"/>
        </w:rPr>
        <w:t xml:space="preserve">Анализ ситуации, складывающейся на рынке труда, показывает, </w:t>
      </w:r>
      <w:r w:rsidRPr="00BC3EA2">
        <w:rPr>
          <w:rFonts w:eastAsia="Calibri" w:cs="Times New Roman"/>
        </w:rPr>
        <w:br/>
        <w:t xml:space="preserve">что наибольшие сложности с трудоустройством возникают у инвалидов, молодежи, женщин, воспитывающих детей дошкольного возраста и детей-инвалидов, </w:t>
      </w:r>
      <w:proofErr w:type="spellStart"/>
      <w:r w:rsidRPr="00BC3EA2">
        <w:rPr>
          <w:rFonts w:eastAsia="Calibri" w:cs="Times New Roman"/>
        </w:rPr>
        <w:t>предпенсионеров</w:t>
      </w:r>
      <w:proofErr w:type="spellEnd"/>
      <w:r w:rsidRPr="00BC3EA2">
        <w:rPr>
          <w:rFonts w:eastAsia="Calibri" w:cs="Times New Roman"/>
        </w:rPr>
        <w:t>, а также иных категорий социально незащищенных граждан, поддержка которых является одним из важнейших приоритетов политики занятости населения.</w:t>
      </w:r>
    </w:p>
    <w:p w:rsidR="00C1744C" w:rsidRPr="00BC3EA2" w:rsidRDefault="00C1744C" w:rsidP="00C1744C">
      <w:pPr>
        <w:ind w:firstLine="567"/>
        <w:jc w:val="both"/>
        <w:rPr>
          <w:rFonts w:cs="Times New Roman"/>
          <w:shd w:val="clear" w:color="auto" w:fill="FFFFFF"/>
        </w:rPr>
      </w:pPr>
      <w:r w:rsidRPr="00BC3EA2">
        <w:t xml:space="preserve">В прогнозном периоде безработица будет снижаться. В основном на количество существующих рабочих мест будут влиять градообразующие предприятия города. Оптимизация численности рабочих мест должна быть завершена. Также планируется создание новых рабочих мест в связи с развитием территорий и расширением направлений деятельности, созданием </w:t>
      </w:r>
      <w:proofErr w:type="spellStart"/>
      <w:r w:rsidRPr="00BC3EA2">
        <w:t>коворкинг</w:t>
      </w:r>
      <w:proofErr w:type="spellEnd"/>
      <w:r w:rsidRPr="00BC3EA2">
        <w:t xml:space="preserve">-центра, индустриальных парков, привлечением на их территорию новых производств, </w:t>
      </w:r>
      <w:r w:rsidRPr="00BC3EA2">
        <w:lastRenderedPageBreak/>
        <w:t>расширением действующих производств, выпуском новых видов продукции, развитием экспорта.</w:t>
      </w:r>
    </w:p>
    <w:p w:rsidR="00C1744C" w:rsidRPr="00BC3EA2" w:rsidRDefault="00C1744C" w:rsidP="00C1744C">
      <w:pPr>
        <w:ind w:firstLine="567"/>
        <w:jc w:val="both"/>
        <w:rPr>
          <w:rFonts w:cs="Times New Roman"/>
          <w:shd w:val="clear" w:color="auto" w:fill="FFFFFF"/>
        </w:rPr>
      </w:pPr>
      <w:r w:rsidRPr="00BC3EA2">
        <w:rPr>
          <w:rFonts w:cs="Times New Roman"/>
          <w:shd w:val="clear" w:color="auto" w:fill="FFFFFF"/>
        </w:rPr>
        <w:t>В городском округе ведется работа по развитию сетевой торговли, формированию современных торговых комплексов, созданию комфортной среды для потребителя. Что приведет к созданию новых рабочих мест и вновь зарегистрированных индивидуальных предпринимателей и в результате позволит в прогнозном периоде значительно снизить численность безработных (до 200 человек в 2026 году).</w:t>
      </w:r>
    </w:p>
    <w:p w:rsidR="00C1744C" w:rsidRPr="00BC3EA2" w:rsidRDefault="00C1744C" w:rsidP="00C1744C">
      <w:pPr>
        <w:ind w:firstLine="567"/>
        <w:jc w:val="both"/>
        <w:rPr>
          <w:rFonts w:cs="Times New Roman"/>
        </w:rPr>
      </w:pPr>
      <w:r w:rsidRPr="00BC3EA2">
        <w:rPr>
          <w:rFonts w:cs="Times New Roman"/>
        </w:rPr>
        <w:t>За 2022 год на предприятиях и в организациях городского округа было создано                         2764 рабочих места, на крупных и средних предприятиях – 1553 единиц, на предприятиях малого бизнеса – 1211 единиц.</w:t>
      </w:r>
    </w:p>
    <w:p w:rsidR="00C1744C" w:rsidRPr="00BC3EA2" w:rsidRDefault="00C1744C" w:rsidP="00C1744C">
      <w:pPr>
        <w:widowControl w:val="0"/>
        <w:autoSpaceDE w:val="0"/>
        <w:autoSpaceDN w:val="0"/>
        <w:ind w:right="51" w:firstLine="567"/>
        <w:jc w:val="both"/>
        <w:rPr>
          <w:rFonts w:cs="Times New Roman"/>
          <w:lang w:bidi="ru-RU"/>
        </w:rPr>
      </w:pPr>
      <w:r w:rsidRPr="00BC3EA2">
        <w:rPr>
          <w:rFonts w:cs="Times New Roman"/>
          <w:lang w:bidi="ru-RU"/>
        </w:rPr>
        <w:t xml:space="preserve">Открытие на территории городского округа крупного предприятия Центр </w:t>
      </w:r>
      <w:proofErr w:type="spellStart"/>
      <w:r w:rsidRPr="00BC3EA2">
        <w:rPr>
          <w:rFonts w:cs="Times New Roman"/>
          <w:lang w:bidi="ru-RU"/>
        </w:rPr>
        <w:t>омниканальной</w:t>
      </w:r>
      <w:proofErr w:type="spellEnd"/>
      <w:r w:rsidRPr="00BC3EA2">
        <w:rPr>
          <w:rFonts w:cs="Times New Roman"/>
          <w:lang w:bidi="ru-RU"/>
        </w:rPr>
        <w:t xml:space="preserve"> торговли ООО «</w:t>
      </w:r>
      <w:proofErr w:type="spellStart"/>
      <w:r w:rsidRPr="00BC3EA2">
        <w:rPr>
          <w:rFonts w:cs="Times New Roman"/>
          <w:lang w:bidi="ru-RU"/>
        </w:rPr>
        <w:t>Вайлбериз</w:t>
      </w:r>
      <w:proofErr w:type="spellEnd"/>
      <w:r w:rsidRPr="00BC3EA2">
        <w:rPr>
          <w:rFonts w:cs="Times New Roman"/>
          <w:lang w:bidi="ru-RU"/>
        </w:rPr>
        <w:t>» обеспечило создание в 2022 году 1201 новое рабочее место. Среди предприятий малого бизнеса наибольшее количество новых рабочих мест было создано у ООО «</w:t>
      </w:r>
      <w:r w:rsidRPr="00BC3EA2">
        <w:rPr>
          <w:rFonts w:cs="Times New Roman"/>
          <w:w w:val="105"/>
          <w:lang w:bidi="ru-RU"/>
        </w:rPr>
        <w:t xml:space="preserve">Энергетик» </w:t>
      </w:r>
      <w:r w:rsidRPr="00BC3EA2">
        <w:rPr>
          <w:rFonts w:cs="Times New Roman"/>
          <w:lang w:bidi="ru-RU"/>
        </w:rPr>
        <w:t>- 81 единица, ООО «ДЭННИ» - 74 единицы, ООО «ТК Лифт» - 60 единиц.</w:t>
      </w:r>
    </w:p>
    <w:p w:rsidR="00C1744C" w:rsidRPr="00BC3EA2" w:rsidRDefault="00C1744C" w:rsidP="00C1744C">
      <w:pPr>
        <w:widowControl w:val="0"/>
        <w:autoSpaceDE w:val="0"/>
        <w:autoSpaceDN w:val="0"/>
        <w:ind w:right="51" w:firstLine="567"/>
        <w:jc w:val="both"/>
        <w:rPr>
          <w:rFonts w:cs="Times New Roman"/>
          <w:lang w:bidi="ru-RU"/>
        </w:rPr>
      </w:pPr>
      <w:r w:rsidRPr="00BC3EA2">
        <w:rPr>
          <w:rFonts w:cs="Times New Roman"/>
          <w:lang w:bidi="ru-RU"/>
        </w:rPr>
        <w:t>В текущем и прогнозном периоде создание новых рабочих мест продолжится.</w:t>
      </w:r>
    </w:p>
    <w:p w:rsidR="00C1744C" w:rsidRPr="00BC3EA2" w:rsidRDefault="00C1744C" w:rsidP="00C1744C">
      <w:pPr>
        <w:widowControl w:val="0"/>
        <w:autoSpaceDE w:val="0"/>
        <w:autoSpaceDN w:val="0"/>
        <w:ind w:right="-1" w:firstLine="567"/>
        <w:jc w:val="both"/>
        <w:rPr>
          <w:rFonts w:cs="Times New Roman"/>
          <w:w w:val="105"/>
          <w:lang w:bidi="ru-RU"/>
        </w:rPr>
      </w:pPr>
      <w:r w:rsidRPr="00BC3EA2">
        <w:rPr>
          <w:rFonts w:cs="Times New Roman"/>
          <w:w w:val="105"/>
          <w:lang w:bidi="ru-RU"/>
        </w:rPr>
        <w:t>В</w:t>
      </w:r>
      <w:r w:rsidRPr="00BC3EA2">
        <w:rPr>
          <w:rFonts w:cs="Times New Roman"/>
          <w:spacing w:val="-22"/>
          <w:w w:val="105"/>
          <w:lang w:bidi="ru-RU"/>
        </w:rPr>
        <w:t xml:space="preserve"> </w:t>
      </w:r>
      <w:r w:rsidRPr="00BC3EA2">
        <w:rPr>
          <w:rFonts w:cs="Times New Roman"/>
          <w:w w:val="105"/>
          <w:lang w:bidi="ru-RU"/>
        </w:rPr>
        <w:t>2022 году фонд оплаты труда по городскому</w:t>
      </w:r>
      <w:r w:rsidRPr="00BC3EA2">
        <w:rPr>
          <w:rFonts w:cs="Times New Roman"/>
          <w:spacing w:val="-18"/>
          <w:w w:val="105"/>
          <w:lang w:bidi="ru-RU"/>
        </w:rPr>
        <w:t xml:space="preserve"> </w:t>
      </w:r>
      <w:r w:rsidRPr="00BC3EA2">
        <w:rPr>
          <w:rFonts w:cs="Times New Roman"/>
          <w:spacing w:val="-3"/>
          <w:w w:val="105"/>
          <w:lang w:bidi="ru-RU"/>
        </w:rPr>
        <w:t xml:space="preserve">округу </w:t>
      </w:r>
      <w:r w:rsidRPr="00BC3EA2">
        <w:rPr>
          <w:rFonts w:cs="Times New Roman"/>
          <w:w w:val="105"/>
          <w:lang w:bidi="ru-RU"/>
        </w:rPr>
        <w:t xml:space="preserve">составил 28,7 </w:t>
      </w:r>
      <w:proofErr w:type="spellStart"/>
      <w:r w:rsidRPr="00BC3EA2">
        <w:rPr>
          <w:rFonts w:cs="Times New Roman"/>
          <w:w w:val="105"/>
          <w:lang w:bidi="ru-RU"/>
        </w:rPr>
        <w:t>млрд.рублей</w:t>
      </w:r>
      <w:proofErr w:type="spellEnd"/>
      <w:r w:rsidRPr="00BC3EA2">
        <w:rPr>
          <w:rFonts w:cs="Times New Roman"/>
          <w:w w:val="105"/>
          <w:lang w:bidi="ru-RU"/>
        </w:rPr>
        <w:t>, темп роста по сравнению с 2021 годом 114,4%.</w:t>
      </w:r>
    </w:p>
    <w:p w:rsidR="00C1744C" w:rsidRPr="00BC3EA2" w:rsidRDefault="00C1744C" w:rsidP="00C1744C">
      <w:pPr>
        <w:widowControl w:val="0"/>
        <w:autoSpaceDE w:val="0"/>
        <w:autoSpaceDN w:val="0"/>
        <w:ind w:right="51" w:firstLine="567"/>
        <w:jc w:val="both"/>
        <w:rPr>
          <w:rFonts w:cs="Times New Roman"/>
          <w:w w:val="105"/>
          <w:lang w:bidi="ru-RU"/>
        </w:rPr>
      </w:pPr>
      <w:r w:rsidRPr="00BC3EA2">
        <w:rPr>
          <w:rFonts w:cs="Times New Roman"/>
          <w:w w:val="105"/>
          <w:lang w:bidi="ru-RU"/>
        </w:rPr>
        <w:t xml:space="preserve">Организациями, определяющими динамику фонда заработной платы городского округа, являются крупнейшие промышленные предприятия: АО «МСЗ», ОАО «ЭЗТМ», АО «МЗ «Электросталь», ОАО «ЭХМЗ», АО «502ЗРВТИ», а также крупнейшее предприятие оптовой торговли «ООО </w:t>
      </w:r>
      <w:proofErr w:type="spellStart"/>
      <w:r w:rsidRPr="00BC3EA2">
        <w:rPr>
          <w:rFonts w:cs="Times New Roman"/>
          <w:w w:val="105"/>
          <w:lang w:bidi="ru-RU"/>
        </w:rPr>
        <w:t>Вайлдбериз</w:t>
      </w:r>
      <w:proofErr w:type="spellEnd"/>
      <w:r w:rsidRPr="00BC3EA2">
        <w:rPr>
          <w:rFonts w:cs="Times New Roman"/>
          <w:w w:val="105"/>
          <w:lang w:bidi="ru-RU"/>
        </w:rPr>
        <w:t xml:space="preserve">». Доля фонда заработной платы перечисленных предприятий в общем объеме фонда заработной платы крупных и средних предприятий городского округа составлял в 2022 году 39%, в 2022 году ФЗП данных предприятий составил 8 933,72 </w:t>
      </w:r>
      <w:proofErr w:type="spellStart"/>
      <w:r w:rsidRPr="00BC3EA2">
        <w:rPr>
          <w:rFonts w:cs="Times New Roman"/>
          <w:w w:val="105"/>
          <w:lang w:bidi="ru-RU"/>
        </w:rPr>
        <w:t>млн.руб</w:t>
      </w:r>
      <w:proofErr w:type="spellEnd"/>
      <w:r w:rsidRPr="00BC3EA2">
        <w:rPr>
          <w:rFonts w:cs="Times New Roman"/>
          <w:w w:val="105"/>
          <w:lang w:bidi="ru-RU"/>
        </w:rPr>
        <w:t>., темп роста по сравнению с 2021 годом 115,8%.</w:t>
      </w:r>
    </w:p>
    <w:p w:rsidR="00C1744C" w:rsidRPr="00BC3EA2" w:rsidRDefault="00C1744C" w:rsidP="00C1744C">
      <w:pPr>
        <w:widowControl w:val="0"/>
        <w:autoSpaceDE w:val="0"/>
        <w:autoSpaceDN w:val="0"/>
        <w:ind w:right="51" w:firstLine="567"/>
        <w:jc w:val="both"/>
        <w:rPr>
          <w:rFonts w:cs="Times New Roman"/>
          <w:w w:val="105"/>
          <w:lang w:bidi="ru-RU"/>
        </w:rPr>
      </w:pPr>
      <w:r w:rsidRPr="00BC3EA2">
        <w:rPr>
          <w:rFonts w:cs="Times New Roman"/>
          <w:w w:val="105"/>
          <w:lang w:bidi="ru-RU"/>
        </w:rPr>
        <w:t xml:space="preserve">Фонд заработной платы по крупным и средним организациям городского округа за январь-июнь 2023 года составил 18,82 </w:t>
      </w:r>
      <w:proofErr w:type="spellStart"/>
      <w:r w:rsidRPr="00BC3EA2">
        <w:rPr>
          <w:rFonts w:cs="Times New Roman"/>
          <w:w w:val="105"/>
          <w:lang w:bidi="ru-RU"/>
        </w:rPr>
        <w:t>млрд.рублей</w:t>
      </w:r>
      <w:proofErr w:type="spellEnd"/>
      <w:r w:rsidRPr="00BC3EA2">
        <w:rPr>
          <w:rFonts w:cs="Times New Roman"/>
          <w:w w:val="105"/>
          <w:lang w:bidi="ru-RU"/>
        </w:rPr>
        <w:t xml:space="preserve"> (темп роста по сравнению с аналогичным периодом 2022 года – 173,2%). Высокий темп роста обусловлен ростом фонда заработной платы работникам крупных и средних предприятий городского округа, выполнявшим работы по договорам гражданско-правового характера (далее - работники по ДГПХ), что связано с ростом численности работников по ДГПХ. </w:t>
      </w:r>
    </w:p>
    <w:p w:rsidR="00C1744C" w:rsidRPr="00BC3EA2" w:rsidRDefault="00C1744C" w:rsidP="00C1744C">
      <w:pPr>
        <w:widowControl w:val="0"/>
        <w:autoSpaceDE w:val="0"/>
        <w:autoSpaceDN w:val="0"/>
        <w:ind w:right="51" w:firstLine="567"/>
        <w:jc w:val="both"/>
        <w:rPr>
          <w:rFonts w:cs="Times New Roman"/>
          <w:w w:val="105"/>
          <w:lang w:bidi="ru-RU"/>
        </w:rPr>
      </w:pPr>
      <w:r w:rsidRPr="00BC3EA2">
        <w:rPr>
          <w:rFonts w:cs="Times New Roman"/>
          <w:w w:val="105"/>
          <w:lang w:bidi="ru-RU"/>
        </w:rPr>
        <w:t xml:space="preserve">За январь-июнь 2023 года средняя численность работников по ДГПХ составила 15999 чел., увеличение по сравнению с аналогичным периодом 2022 года на 15673 чел. (за январь-июнь 2022 года численность работников по ДГПХ составляла 326 чел.), фонд заработной платы работников по ДГПХ за январь-июнь 2023 года составил 6,04 </w:t>
      </w:r>
      <w:proofErr w:type="spellStart"/>
      <w:r w:rsidRPr="00BC3EA2">
        <w:rPr>
          <w:rFonts w:cs="Times New Roman"/>
          <w:w w:val="105"/>
          <w:lang w:bidi="ru-RU"/>
        </w:rPr>
        <w:t>млрд.руб</w:t>
      </w:r>
      <w:proofErr w:type="spellEnd"/>
      <w:r w:rsidRPr="00BC3EA2">
        <w:rPr>
          <w:rFonts w:cs="Times New Roman"/>
          <w:w w:val="105"/>
          <w:lang w:bidi="ru-RU"/>
        </w:rPr>
        <w:t xml:space="preserve">. (по сравнению с аналогичным периодом 2022 года фонд заработной платы работников по ДГПХ увеличился на 5,5 </w:t>
      </w:r>
      <w:proofErr w:type="spellStart"/>
      <w:r w:rsidRPr="00BC3EA2">
        <w:rPr>
          <w:rFonts w:cs="Times New Roman"/>
          <w:w w:val="105"/>
          <w:lang w:bidi="ru-RU"/>
        </w:rPr>
        <w:t>млрд.руб</w:t>
      </w:r>
      <w:proofErr w:type="spellEnd"/>
      <w:r w:rsidRPr="00BC3EA2">
        <w:rPr>
          <w:rFonts w:cs="Times New Roman"/>
          <w:w w:val="105"/>
          <w:lang w:bidi="ru-RU"/>
        </w:rPr>
        <w:t xml:space="preserve">.). </w:t>
      </w:r>
    </w:p>
    <w:p w:rsidR="00C1744C" w:rsidRPr="00BC3EA2" w:rsidRDefault="00C1744C" w:rsidP="00C1744C">
      <w:pPr>
        <w:ind w:firstLine="567"/>
        <w:jc w:val="both"/>
        <w:rPr>
          <w:rFonts w:cs="Times New Roman"/>
        </w:rPr>
      </w:pPr>
      <w:r w:rsidRPr="00BC3EA2">
        <w:rPr>
          <w:rFonts w:cs="Times New Roman"/>
        </w:rPr>
        <w:t>Основная доля численности работников по ДГПХ приходится на предприятия, осуществляющих деятельность по ОКВЭД 47.91 «Торговля розничная по почте или по информационно-коммуникационной сети Интернет, крупнейшее предприятие городского округа, осуществляющее деятельность по ОКВЭД 47.91 - ООО «</w:t>
      </w:r>
      <w:proofErr w:type="spellStart"/>
      <w:r w:rsidRPr="00BC3EA2">
        <w:rPr>
          <w:rFonts w:cs="Times New Roman"/>
        </w:rPr>
        <w:t>Вайлдбериз</w:t>
      </w:r>
      <w:proofErr w:type="spellEnd"/>
      <w:r w:rsidRPr="00BC3EA2">
        <w:rPr>
          <w:rFonts w:cs="Times New Roman"/>
        </w:rPr>
        <w:t>».</w:t>
      </w:r>
    </w:p>
    <w:p w:rsidR="00C1744C" w:rsidRPr="00BC3EA2" w:rsidRDefault="00C1744C" w:rsidP="00C1744C">
      <w:pPr>
        <w:widowControl w:val="0"/>
        <w:autoSpaceDE w:val="0"/>
        <w:autoSpaceDN w:val="0"/>
        <w:ind w:right="51" w:firstLine="567"/>
        <w:jc w:val="both"/>
        <w:rPr>
          <w:rFonts w:cs="Times New Roman"/>
          <w:w w:val="105"/>
          <w:lang w:bidi="ru-RU"/>
        </w:rPr>
      </w:pPr>
      <w:r w:rsidRPr="00BC3EA2">
        <w:rPr>
          <w:rFonts w:cs="Times New Roman"/>
          <w:w w:val="105"/>
          <w:lang w:bidi="ru-RU"/>
        </w:rPr>
        <w:t>В 2023 году темп роста фонда заработной</w:t>
      </w:r>
      <w:r w:rsidRPr="00BC3EA2">
        <w:rPr>
          <w:rFonts w:cs="Times New Roman"/>
          <w:spacing w:val="-22"/>
          <w:w w:val="105"/>
          <w:lang w:bidi="ru-RU"/>
        </w:rPr>
        <w:t xml:space="preserve"> </w:t>
      </w:r>
      <w:r w:rsidRPr="00BC3EA2">
        <w:rPr>
          <w:rFonts w:cs="Times New Roman"/>
          <w:spacing w:val="-3"/>
          <w:w w:val="105"/>
          <w:lang w:bidi="ru-RU"/>
        </w:rPr>
        <w:t xml:space="preserve">платы </w:t>
      </w:r>
      <w:r w:rsidRPr="00BC3EA2">
        <w:rPr>
          <w:rFonts w:cs="Times New Roman"/>
          <w:w w:val="105"/>
          <w:lang w:bidi="ru-RU"/>
        </w:rPr>
        <w:t xml:space="preserve">по крупным и средним организациям оценивается в пределах 43,77 </w:t>
      </w:r>
      <w:proofErr w:type="spellStart"/>
      <w:r w:rsidRPr="00BC3EA2">
        <w:rPr>
          <w:rFonts w:cs="Times New Roman"/>
          <w:w w:val="105"/>
          <w:lang w:bidi="ru-RU"/>
        </w:rPr>
        <w:t>млрд.рублей</w:t>
      </w:r>
      <w:proofErr w:type="spellEnd"/>
      <w:r w:rsidRPr="00BC3EA2">
        <w:rPr>
          <w:rFonts w:cs="Times New Roman"/>
          <w:w w:val="105"/>
          <w:lang w:bidi="ru-RU"/>
        </w:rPr>
        <w:t>, темп роста 152,5%.</w:t>
      </w:r>
    </w:p>
    <w:p w:rsidR="00C1744C" w:rsidRPr="00BC3EA2" w:rsidRDefault="00C1744C" w:rsidP="00C1744C">
      <w:pPr>
        <w:widowControl w:val="0"/>
        <w:autoSpaceDE w:val="0"/>
        <w:autoSpaceDN w:val="0"/>
        <w:ind w:right="51" w:firstLine="567"/>
        <w:jc w:val="both"/>
        <w:rPr>
          <w:rFonts w:cs="Times New Roman"/>
          <w:w w:val="105"/>
          <w:sz w:val="22"/>
          <w:szCs w:val="22"/>
          <w:lang w:bidi="ru-RU"/>
        </w:rPr>
      </w:pPr>
      <w:r w:rsidRPr="00BC3EA2">
        <w:rPr>
          <w:rFonts w:cs="Times New Roman"/>
          <w:w w:val="105"/>
          <w:sz w:val="22"/>
          <w:szCs w:val="22"/>
          <w:lang w:bidi="ru-RU"/>
        </w:rPr>
        <w:t>В прогнозном периоде планируется умеренный рост фонда заработной платы:</w:t>
      </w:r>
    </w:p>
    <w:p w:rsidR="00C1744C" w:rsidRPr="00BC3EA2" w:rsidRDefault="00C1744C" w:rsidP="00C1744C">
      <w:pPr>
        <w:ind w:firstLine="567"/>
        <w:jc w:val="both"/>
        <w:rPr>
          <w:rFonts w:cs="Times New Roman"/>
          <w:w w:val="105"/>
          <w:lang w:bidi="ru-RU"/>
        </w:rPr>
      </w:pPr>
      <w:r w:rsidRPr="00BC3EA2">
        <w:rPr>
          <w:rFonts w:cs="Times New Roman"/>
          <w:w w:val="105"/>
          <w:lang w:bidi="ru-RU"/>
        </w:rPr>
        <w:t>-  в 2024 году рост составит 113,6 % (по базовому варианту);</w:t>
      </w:r>
    </w:p>
    <w:p w:rsidR="00C1744C" w:rsidRPr="00BC3EA2" w:rsidRDefault="00C1744C" w:rsidP="00C1744C">
      <w:pPr>
        <w:ind w:firstLine="567"/>
        <w:jc w:val="both"/>
        <w:rPr>
          <w:rFonts w:cs="Times New Roman"/>
          <w:w w:val="105"/>
          <w:lang w:bidi="ru-RU"/>
        </w:rPr>
      </w:pPr>
      <w:r w:rsidRPr="00BC3EA2">
        <w:rPr>
          <w:rFonts w:cs="Times New Roman"/>
          <w:w w:val="105"/>
          <w:lang w:bidi="ru-RU"/>
        </w:rPr>
        <w:t>- в 2025 – 105,6% (по базовому варианту);</w:t>
      </w:r>
    </w:p>
    <w:p w:rsidR="00C1744C" w:rsidRPr="00BC3EA2" w:rsidRDefault="00C1744C" w:rsidP="00C1744C">
      <w:pPr>
        <w:ind w:firstLine="567"/>
        <w:jc w:val="both"/>
        <w:rPr>
          <w:rFonts w:cs="Times New Roman"/>
          <w:w w:val="105"/>
          <w:lang w:bidi="ru-RU"/>
        </w:rPr>
      </w:pPr>
      <w:r w:rsidRPr="00BC3EA2">
        <w:rPr>
          <w:rFonts w:cs="Times New Roman"/>
          <w:w w:val="105"/>
          <w:lang w:bidi="ru-RU"/>
        </w:rPr>
        <w:t>- в 2026 году – 105,7% (по базовому варианту).</w:t>
      </w:r>
    </w:p>
    <w:p w:rsidR="00C1744C" w:rsidRPr="00BC3EA2" w:rsidRDefault="00C1744C" w:rsidP="00C1744C">
      <w:pPr>
        <w:ind w:firstLine="567"/>
        <w:jc w:val="both"/>
        <w:rPr>
          <w:rFonts w:cs="Times New Roman"/>
          <w:w w:val="105"/>
          <w:lang w:bidi="ru-RU"/>
        </w:rPr>
      </w:pPr>
      <w:r w:rsidRPr="00BC3EA2">
        <w:rPr>
          <w:rFonts w:cs="Times New Roman"/>
          <w:w w:val="105"/>
          <w:lang w:bidi="ru-RU"/>
        </w:rPr>
        <w:t xml:space="preserve">Умеренный темп роста фонда заработной платы в прогнозный период 2024-2026 годов обусловлен тем, что на территории городского округа не планируется строительство новых крупных производств. Действующие предприятия и организации развиваются стабильно. Крупнейшие градообразующие предприятия АО «МСЗ» и АО «МЗ «Электросталь» сохраняют тенденцию роста фонда заработной платы в пределах 5-10% в год. ООО </w:t>
      </w:r>
      <w:r w:rsidRPr="00BC3EA2">
        <w:rPr>
          <w:rFonts w:cs="Times New Roman"/>
          <w:w w:val="105"/>
          <w:lang w:bidi="ru-RU"/>
        </w:rPr>
        <w:lastRenderedPageBreak/>
        <w:t>«</w:t>
      </w:r>
      <w:proofErr w:type="spellStart"/>
      <w:r w:rsidRPr="00BC3EA2">
        <w:rPr>
          <w:rFonts w:cs="Times New Roman"/>
          <w:w w:val="105"/>
          <w:lang w:bidi="ru-RU"/>
        </w:rPr>
        <w:t>Вайлдбериз</w:t>
      </w:r>
      <w:proofErr w:type="spellEnd"/>
      <w:r w:rsidRPr="00BC3EA2">
        <w:rPr>
          <w:rFonts w:cs="Times New Roman"/>
          <w:w w:val="105"/>
          <w:lang w:bidi="ru-RU"/>
        </w:rPr>
        <w:t>» вышло на полную мощность, высокий рост фонда заработной платы из-за роста численности работников не планируется.</w:t>
      </w:r>
    </w:p>
    <w:p w:rsidR="00C1744C" w:rsidRPr="00BC3EA2" w:rsidRDefault="00C1744C" w:rsidP="00C1744C">
      <w:pPr>
        <w:ind w:firstLine="567"/>
        <w:jc w:val="both"/>
        <w:rPr>
          <w:w w:val="105"/>
        </w:rPr>
      </w:pPr>
      <w:r w:rsidRPr="00BC3EA2">
        <w:rPr>
          <w:w w:val="105"/>
        </w:rPr>
        <w:t xml:space="preserve">Среднемесячная номинальная начисленная заработная плата работников (по полному кругу организаций) городского округа Электросталь составила в 2022 году 60601,11 руб., темп роста по сравнению с прошлым годом 114,7%, среднемесячная заработная плата работников по крупным и средним организациям (включая организации с численностью до 15 человек) выросла по сравнению с 2021 годом на 116,1% и составила 67749,9 руб. Причина  роста заработной платы - повышение производительности труда, а также рост объемов производства промышленных предприятий города. </w:t>
      </w:r>
    </w:p>
    <w:p w:rsidR="00C1744C" w:rsidRPr="00BC3EA2" w:rsidRDefault="00C1744C" w:rsidP="00C1744C">
      <w:pPr>
        <w:ind w:firstLine="567"/>
        <w:jc w:val="both"/>
        <w:rPr>
          <w:w w:val="105"/>
        </w:rPr>
      </w:pPr>
      <w:r w:rsidRPr="00BC3EA2">
        <w:rPr>
          <w:w w:val="105"/>
        </w:rPr>
        <w:t>Наиболее высокий уровень среднемесячной заработной платы показывают предприятия городского округа, относящиеся к виду деятельности: «Обрабатывающее производство».</w:t>
      </w:r>
    </w:p>
    <w:p w:rsidR="00C1744C" w:rsidRPr="00BC3EA2" w:rsidRDefault="00C1744C" w:rsidP="00C1744C">
      <w:pPr>
        <w:ind w:firstLine="567"/>
        <w:jc w:val="both"/>
        <w:rPr>
          <w:w w:val="105"/>
        </w:rPr>
      </w:pPr>
      <w:r w:rsidRPr="00BC3EA2">
        <w:rPr>
          <w:w w:val="105"/>
        </w:rPr>
        <w:t>За январь-июнь 2023 года среднемесячная начисленная заработная плата работников по крупным и средним организациям городского округа Электросталь, рассчитанная по методологии Росстата (без учета численности работников по ДГПХ), составила 106646,3 руб. С учетом численности работников по ДГПХ, средняя заработная плата работников крупных и средних предприятий городского округа за январь-июнь 2023 года составила 66 636,77 руб., темп роста 102,3%, что соответствует темпам роста средней заработной платы по городскому округу на протяжении ряда последних лет.</w:t>
      </w:r>
    </w:p>
    <w:p w:rsidR="00C1744C" w:rsidRPr="00BC3EA2" w:rsidRDefault="00C1744C" w:rsidP="00C1744C">
      <w:pPr>
        <w:ind w:firstLine="567"/>
        <w:jc w:val="both"/>
        <w:rPr>
          <w:w w:val="105"/>
        </w:rPr>
      </w:pPr>
      <w:r w:rsidRPr="00BC3EA2">
        <w:rPr>
          <w:w w:val="105"/>
        </w:rPr>
        <w:t xml:space="preserve">Таким образом, в 2023 году среднемесячная номинальная начисленная заработная плата работников (по полному кругу организаций) городского округа Электросталь (с учетом численности работников по ДГПХ) оценочно составит 64247 руб. (темп роста – 109,4%), по крупным и средним организациям городского округа – 69 081,2 (темп роста – 106,5%). Рост предполагается за счет индексации заработной платы. </w:t>
      </w:r>
    </w:p>
    <w:p w:rsidR="00C1744C" w:rsidRPr="00BC3EA2" w:rsidRDefault="00C1744C" w:rsidP="00C1744C">
      <w:pPr>
        <w:ind w:firstLine="567"/>
        <w:jc w:val="both"/>
        <w:rPr>
          <w:w w:val="105"/>
        </w:rPr>
      </w:pPr>
      <w:r w:rsidRPr="00BC3EA2">
        <w:rPr>
          <w:w w:val="105"/>
        </w:rPr>
        <w:t xml:space="preserve">На плановый период 2024-2026 годов прогнозируется умеренный рост среднемесячной заработной платы работников (по полному кругу организаций) городского округа (с учетом численности работников по ДГПХ), в том </w:t>
      </w:r>
      <w:proofErr w:type="gramStart"/>
      <w:r w:rsidRPr="00BC3EA2">
        <w:rPr>
          <w:w w:val="105"/>
        </w:rPr>
        <w:t xml:space="preserve">числе:   </w:t>
      </w:r>
      <w:proofErr w:type="gramEnd"/>
      <w:r w:rsidRPr="00BC3EA2">
        <w:rPr>
          <w:w w:val="105"/>
        </w:rPr>
        <w:t xml:space="preserve">                    в 2024 году темп роста по базовому варианту планируется в размере 107,8%, в 2025 году – 103,2%, в 2025 году – 103,8%.</w:t>
      </w:r>
    </w:p>
    <w:p w:rsidR="00C1744C" w:rsidRPr="00BC3EA2" w:rsidRDefault="00C1744C" w:rsidP="00C1744C">
      <w:pPr>
        <w:ind w:firstLine="540"/>
        <w:jc w:val="both"/>
        <w:rPr>
          <w:w w:val="105"/>
        </w:rPr>
      </w:pPr>
    </w:p>
    <w:p w:rsidR="00C1744C" w:rsidRPr="00BC3EA2" w:rsidRDefault="00C1744C" w:rsidP="00C1744C">
      <w:pPr>
        <w:ind w:firstLine="540"/>
        <w:jc w:val="both"/>
        <w:rPr>
          <w:rFonts w:cs="Times New Roman"/>
          <w:b/>
          <w:i/>
        </w:rPr>
      </w:pPr>
      <w:r w:rsidRPr="00BC3EA2">
        <w:rPr>
          <w:rFonts w:cs="Times New Roman"/>
          <w:b/>
          <w:i/>
        </w:rPr>
        <w:t>Фонд начисленной заработной платы малых предприятий</w:t>
      </w:r>
    </w:p>
    <w:p w:rsidR="00C1744C" w:rsidRPr="00BC3EA2" w:rsidRDefault="00C1744C" w:rsidP="00C1744C">
      <w:pPr>
        <w:ind w:firstLine="540"/>
        <w:jc w:val="both"/>
        <w:rPr>
          <w:w w:val="105"/>
        </w:rPr>
      </w:pPr>
      <w:r w:rsidRPr="00BC3EA2">
        <w:rPr>
          <w:w w:val="105"/>
        </w:rPr>
        <w:t xml:space="preserve">Фонд заработной платы работников малых предприятий городского округа Электросталь в 2022 году составил 5,81 </w:t>
      </w:r>
      <w:proofErr w:type="spellStart"/>
      <w:r w:rsidRPr="00BC3EA2">
        <w:rPr>
          <w:w w:val="105"/>
        </w:rPr>
        <w:t>млрд.руб</w:t>
      </w:r>
      <w:proofErr w:type="spellEnd"/>
      <w:r w:rsidRPr="00BC3EA2">
        <w:rPr>
          <w:w w:val="105"/>
        </w:rPr>
        <w:t xml:space="preserve">., темп роста по сравнению с 2021 годом – 111,9%. Рост обусловлен увеличением численности работников предприятий малого бизнеса, а также развитием и модернизацией производства на предприятиях малого бизнеса. </w:t>
      </w:r>
    </w:p>
    <w:p w:rsidR="00C1744C" w:rsidRPr="00BC3EA2" w:rsidRDefault="00C1744C" w:rsidP="00C1744C">
      <w:pPr>
        <w:widowControl w:val="0"/>
        <w:autoSpaceDE w:val="0"/>
        <w:autoSpaceDN w:val="0"/>
        <w:spacing w:before="23"/>
        <w:ind w:right="130" w:firstLine="540"/>
        <w:jc w:val="both"/>
        <w:rPr>
          <w:rFonts w:cs="Times New Roman"/>
          <w:w w:val="105"/>
          <w:lang w:bidi="ru-RU"/>
        </w:rPr>
      </w:pPr>
      <w:r w:rsidRPr="00BC3EA2">
        <w:rPr>
          <w:rFonts w:cs="Times New Roman"/>
          <w:w w:val="105"/>
          <w:lang w:bidi="ru-RU"/>
        </w:rPr>
        <w:t xml:space="preserve">Среднемесячная заработная плата работников малых предприятий (включая </w:t>
      </w:r>
      <w:proofErr w:type="spellStart"/>
      <w:r w:rsidRPr="00BC3EA2">
        <w:rPr>
          <w:rFonts w:cs="Times New Roman"/>
          <w:w w:val="105"/>
          <w:lang w:bidi="ru-RU"/>
        </w:rPr>
        <w:t>микропредприятия</w:t>
      </w:r>
      <w:proofErr w:type="spellEnd"/>
      <w:r w:rsidRPr="00BC3EA2">
        <w:rPr>
          <w:rFonts w:cs="Times New Roman"/>
          <w:w w:val="105"/>
          <w:lang w:bidi="ru-RU"/>
        </w:rPr>
        <w:t xml:space="preserve">) в 2022 году составила 42808 руб. Увеличение по сравнению с 2021 годом (110,2%)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w:t>
      </w:r>
      <w:proofErr w:type="spellStart"/>
      <w:r w:rsidRPr="00BC3EA2">
        <w:rPr>
          <w:rFonts w:cs="Times New Roman"/>
          <w:w w:val="105"/>
          <w:lang w:bidi="ru-RU"/>
        </w:rPr>
        <w:t>трудозамещающих</w:t>
      </w:r>
      <w:proofErr w:type="spellEnd"/>
      <w:r w:rsidRPr="00BC3EA2">
        <w:rPr>
          <w:rFonts w:cs="Times New Roman"/>
          <w:w w:val="105"/>
          <w:lang w:bidi="ru-RU"/>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C1744C" w:rsidRPr="00BC3EA2" w:rsidRDefault="00C1744C" w:rsidP="00C1744C">
      <w:pPr>
        <w:widowControl w:val="0"/>
        <w:autoSpaceDE w:val="0"/>
        <w:autoSpaceDN w:val="0"/>
        <w:spacing w:before="23"/>
        <w:ind w:right="130" w:firstLine="540"/>
        <w:jc w:val="both"/>
        <w:rPr>
          <w:rFonts w:cs="Times New Roman"/>
          <w:w w:val="105"/>
          <w:lang w:bidi="ru-RU"/>
        </w:rPr>
      </w:pPr>
    </w:p>
    <w:p w:rsidR="00C1744C" w:rsidRPr="00BC3EA2" w:rsidRDefault="00C1744C" w:rsidP="00C1744C">
      <w:pPr>
        <w:widowControl w:val="0"/>
        <w:autoSpaceDE w:val="0"/>
        <w:autoSpaceDN w:val="0"/>
        <w:spacing w:before="23"/>
        <w:ind w:right="130" w:firstLine="540"/>
        <w:jc w:val="both"/>
        <w:rPr>
          <w:rFonts w:cs="Times New Roman"/>
          <w:b/>
          <w:i/>
          <w:w w:val="105"/>
          <w:lang w:bidi="ru-RU"/>
        </w:rPr>
      </w:pPr>
      <w:r w:rsidRPr="00BC3EA2">
        <w:rPr>
          <w:rFonts w:cs="Times New Roman"/>
          <w:b/>
          <w:i/>
        </w:rPr>
        <w:t>Среднемесячная заработная плата отдельных категорий работников социальной сферы</w:t>
      </w:r>
    </w:p>
    <w:p w:rsidR="00C1744C" w:rsidRPr="00BC3EA2" w:rsidRDefault="00C1744C" w:rsidP="00C1744C">
      <w:pPr>
        <w:ind w:firstLine="540"/>
        <w:jc w:val="both"/>
      </w:pPr>
      <w:r w:rsidRPr="00BC3EA2">
        <w:t xml:space="preserve">Особое внимание уделяется росту средней заработной платы работникам муниципальных образовательных учреждений и учреждений культуры городского округа Электросталь. </w:t>
      </w:r>
    </w:p>
    <w:p w:rsidR="00C1744C" w:rsidRPr="00BC3EA2" w:rsidRDefault="00C1744C" w:rsidP="00C1744C">
      <w:pPr>
        <w:ind w:firstLine="540"/>
        <w:jc w:val="both"/>
      </w:pPr>
      <w:r w:rsidRPr="00BC3EA2">
        <w:t xml:space="preserve">Среднемесячная номинальная начисленная заработная плата педагогических работников муниципальных образовательных учреждений за 2022 год составила 63959,0 руб., отношение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 114,9%. </w:t>
      </w:r>
    </w:p>
    <w:p w:rsidR="00C1744C" w:rsidRPr="00BC3EA2" w:rsidRDefault="00C1744C" w:rsidP="00C1744C">
      <w:pPr>
        <w:ind w:firstLine="540"/>
        <w:jc w:val="both"/>
      </w:pPr>
      <w:r w:rsidRPr="00BC3EA2">
        <w:lastRenderedPageBreak/>
        <w:t xml:space="preserve">В 2023 году средняя заработная плата педагогических работников муниципальных образовательных учреждений по оценке составит 67924,4 </w:t>
      </w:r>
      <w:proofErr w:type="spellStart"/>
      <w:r w:rsidRPr="00BC3EA2">
        <w:t>руб</w:t>
      </w:r>
      <w:proofErr w:type="spellEnd"/>
      <w:r w:rsidRPr="00BC3EA2">
        <w:t xml:space="preserve"> (отношение – 108,9%), в прогнозный период 2024-2026 годов планируется дальнейший рост средней заработной платы педагогических работников муниципальных образовательных учреждений, к 2026 году она достигнет 75075,2 руб.</w:t>
      </w:r>
    </w:p>
    <w:p w:rsidR="00C1744C" w:rsidRPr="00BC3EA2" w:rsidRDefault="00C1744C" w:rsidP="00C1744C">
      <w:pPr>
        <w:ind w:firstLine="567"/>
        <w:jc w:val="both"/>
      </w:pPr>
      <w:r w:rsidRPr="00BC3EA2">
        <w:t xml:space="preserve">Среднемесячная номинальная начисленная заработная плата педагогических работников дошкольных муниципальных образовательных учреждений за 2022 год составила 59931,7 руб., отношение к среднемесячной заработной плате работников в общеобразовательных организациях в Московской области – 98,3%. </w:t>
      </w:r>
    </w:p>
    <w:p w:rsidR="00C1744C" w:rsidRPr="00BC3EA2" w:rsidRDefault="00C1744C" w:rsidP="00C1744C">
      <w:pPr>
        <w:ind w:firstLine="567"/>
        <w:jc w:val="both"/>
      </w:pPr>
      <w:r w:rsidRPr="00BC3EA2">
        <w:t>В 2023 году средняя заработная плата педагогических работников дошкольных муниципальных образовательных учреждений по оценке составит 63738,9 руб. (отношение – 100%), в прогнозный период 2024-2026 годов планируется дальнейший рост средней заработной платы педагогических работников дошкольных муниципальных образовательных учреждений, к 2026 году она достигнет 66413,5 руб.</w:t>
      </w:r>
    </w:p>
    <w:p w:rsidR="00C1744C" w:rsidRPr="00BC3EA2" w:rsidRDefault="00C1744C" w:rsidP="00C1744C">
      <w:pPr>
        <w:ind w:firstLine="567"/>
        <w:jc w:val="both"/>
      </w:pPr>
      <w:r w:rsidRPr="00BC3EA2">
        <w:t xml:space="preserve">Среднемесячная номинальная начисленная заработная плата педагогических работников муниципальных учреждений дополнительного образования детей за 2022 год составила 68603,3 руб., отношение к средней заработной плате учителей в Московской области – 100,5%. </w:t>
      </w:r>
    </w:p>
    <w:p w:rsidR="00C1744C" w:rsidRPr="00BC3EA2" w:rsidRDefault="00C1744C" w:rsidP="00C1744C">
      <w:pPr>
        <w:ind w:firstLine="567"/>
        <w:jc w:val="both"/>
      </w:pPr>
      <w:r w:rsidRPr="00BC3EA2">
        <w:t>В 2023 году средняя заработная плата педагогических работников муниципальных учреждений дополнительного образования детей по оценке составит 43679,9 руб. (отношение – 101,7%), в прогнозный период 2024-2026 годов планируется дальнейший рост средней заработной платы педагогических работников муниципальных учреждений дополнительного образования детей, к 2026 году она достигнет 75075,2 руб.</w:t>
      </w:r>
    </w:p>
    <w:p w:rsidR="00C1744C" w:rsidRPr="00BC3EA2" w:rsidRDefault="00C1744C" w:rsidP="00C1744C">
      <w:pPr>
        <w:ind w:firstLine="540"/>
        <w:jc w:val="both"/>
      </w:pPr>
      <w:r w:rsidRPr="00BC3EA2">
        <w:t xml:space="preserve">Среднемесячная номинальная начисленная заработная плата работников муниципальных учреждений культуры за 2022 год составила 55071,6 руб., отношение к среднемесячной начисленной заработной плате наемных работников в организациях, у индивидуальных предпринимателей и физических лиц (среднемесячный доход от трудовой деятельности) – 98,9%. </w:t>
      </w:r>
    </w:p>
    <w:p w:rsidR="00C1744C" w:rsidRPr="00BC3EA2" w:rsidRDefault="00C1744C" w:rsidP="00C1744C">
      <w:pPr>
        <w:ind w:firstLine="540"/>
        <w:jc w:val="both"/>
      </w:pPr>
      <w:r w:rsidRPr="00BC3EA2">
        <w:t>В 2023 году средняя заработная плата работников муниципальных учреждений культуры по оценке составит 62357,1 руб. (отношение – 100%), в прогнозный период 2024-2026 годов планируется дальнейший рост средней заработной платы работников муниципальных учреждений культуры, к 2026 году она достигнет 75075,2 руб.</w:t>
      </w:r>
    </w:p>
    <w:p w:rsidR="00C1744C" w:rsidRPr="00BC3EA2" w:rsidRDefault="00C1744C" w:rsidP="00C1744C">
      <w:pPr>
        <w:rPr>
          <w:rFonts w:cs="Times New Roman"/>
          <w:b/>
          <w:bCs/>
        </w:rPr>
      </w:pPr>
    </w:p>
    <w:p w:rsidR="00C1744C" w:rsidRPr="00BC3EA2" w:rsidRDefault="00C1744C" w:rsidP="00C1744C">
      <w:pPr>
        <w:ind w:firstLine="567"/>
        <w:rPr>
          <w:rFonts w:cs="Times New Roman"/>
          <w:b/>
          <w:bCs/>
        </w:rPr>
      </w:pPr>
      <w:r w:rsidRPr="00BC3EA2">
        <w:rPr>
          <w:rFonts w:cs="Times New Roman"/>
          <w:b/>
          <w:bCs/>
        </w:rPr>
        <w:t>Торговля и услуги</w:t>
      </w:r>
    </w:p>
    <w:p w:rsidR="00C1744C" w:rsidRPr="00BC3EA2" w:rsidRDefault="00C1744C" w:rsidP="00C1744C">
      <w:pPr>
        <w:ind w:firstLine="567"/>
        <w:jc w:val="both"/>
        <w:rPr>
          <w:rFonts w:cs="Times New Roman"/>
        </w:rPr>
      </w:pPr>
      <w:r w:rsidRPr="00BC3EA2">
        <w:rPr>
          <w:rFonts w:cs="Times New Roman"/>
        </w:rPr>
        <w:t>На территории городского округа Электросталь осуществляют деятельность крупные предприятия оптовой и розничной торговли: торговый центр «Меридиан», торгово-развлекательный центр «</w:t>
      </w:r>
      <w:proofErr w:type="spellStart"/>
      <w:r w:rsidRPr="00BC3EA2">
        <w:rPr>
          <w:rFonts w:cs="Times New Roman"/>
        </w:rPr>
        <w:t>Эльград</w:t>
      </w:r>
      <w:proofErr w:type="spellEnd"/>
      <w:r w:rsidRPr="00BC3EA2">
        <w:rPr>
          <w:rFonts w:cs="Times New Roman"/>
        </w:rPr>
        <w:t>», культурно-развлекательный центр «Парк Плаза», торговый центр «Центральный», торговый центр «Первый», два торговых центра «АТАК», мебельный центр «Интерьер», торговый комплекс «Восточный», торговый комплекс «</w:t>
      </w:r>
      <w:proofErr w:type="spellStart"/>
      <w:r w:rsidRPr="00BC3EA2">
        <w:rPr>
          <w:rFonts w:cs="Times New Roman"/>
        </w:rPr>
        <w:t>Анже</w:t>
      </w:r>
      <w:proofErr w:type="spellEnd"/>
      <w:r w:rsidRPr="00BC3EA2">
        <w:rPr>
          <w:rFonts w:cs="Times New Roman"/>
        </w:rPr>
        <w:t>», торгово-офисный центр «Лотос», торговый центр «Южный», гипермаркеты «Глобус» и «</w:t>
      </w:r>
      <w:proofErr w:type="spellStart"/>
      <w:r w:rsidRPr="00BC3EA2">
        <w:rPr>
          <w:rFonts w:cs="Times New Roman"/>
        </w:rPr>
        <w:t>Касторама</w:t>
      </w:r>
      <w:proofErr w:type="spellEnd"/>
      <w:r w:rsidRPr="00BC3EA2">
        <w:rPr>
          <w:rFonts w:cs="Times New Roman"/>
        </w:rPr>
        <w:t>».</w:t>
      </w:r>
    </w:p>
    <w:p w:rsidR="00C1744C" w:rsidRPr="00BC3EA2" w:rsidRDefault="00C1744C" w:rsidP="00C1744C">
      <w:pPr>
        <w:ind w:firstLine="567"/>
        <w:jc w:val="both"/>
        <w:rPr>
          <w:rFonts w:cs="Times New Roman"/>
        </w:rPr>
      </w:pPr>
      <w:r w:rsidRPr="00BC3EA2">
        <w:rPr>
          <w:rFonts w:cs="Times New Roman"/>
        </w:rPr>
        <w:t>В 2022 году введён 81 объект розничной торговли, наиболее крупные: магазин «</w:t>
      </w:r>
      <w:proofErr w:type="spellStart"/>
      <w:r w:rsidRPr="00BC3EA2">
        <w:rPr>
          <w:rFonts w:cs="Times New Roman"/>
        </w:rPr>
        <w:t>Familia</w:t>
      </w:r>
      <w:proofErr w:type="spellEnd"/>
      <w:r w:rsidRPr="00BC3EA2">
        <w:rPr>
          <w:rFonts w:cs="Times New Roman"/>
        </w:rPr>
        <w:t>», магазин «Лента», магазин «</w:t>
      </w:r>
      <w:proofErr w:type="spellStart"/>
      <w:r w:rsidRPr="00BC3EA2">
        <w:rPr>
          <w:rFonts w:cs="Times New Roman"/>
        </w:rPr>
        <w:t>Мегахенд</w:t>
      </w:r>
      <w:proofErr w:type="spellEnd"/>
      <w:r w:rsidRPr="00BC3EA2">
        <w:rPr>
          <w:rFonts w:cs="Times New Roman"/>
        </w:rPr>
        <w:t xml:space="preserve">», магазин «Пятерочка» магазин «Сантехника», магазин «Эконом мебель» и др. </w:t>
      </w:r>
    </w:p>
    <w:p w:rsidR="00C1744C" w:rsidRPr="00BC3EA2" w:rsidRDefault="00C1744C" w:rsidP="00C1744C">
      <w:pPr>
        <w:ind w:firstLine="567"/>
        <w:jc w:val="both"/>
        <w:rPr>
          <w:rFonts w:cs="Times New Roman"/>
        </w:rPr>
      </w:pPr>
      <w:r w:rsidRPr="00BC3EA2">
        <w:rPr>
          <w:rFonts w:cs="Times New Roman"/>
        </w:rPr>
        <w:t xml:space="preserve">В 2023 году планируется ввести 63 предприятия потребительского рынка общей </w:t>
      </w:r>
      <w:proofErr w:type="gramStart"/>
      <w:r w:rsidRPr="00BC3EA2">
        <w:rPr>
          <w:rFonts w:cs="Times New Roman"/>
        </w:rPr>
        <w:t>площадью  5</w:t>
      </w:r>
      <w:proofErr w:type="gramEnd"/>
      <w:r w:rsidRPr="00BC3EA2">
        <w:rPr>
          <w:rFonts w:cs="Times New Roman"/>
        </w:rPr>
        <w:t xml:space="preserve">,6 </w:t>
      </w:r>
      <w:proofErr w:type="spellStart"/>
      <w:r w:rsidRPr="00BC3EA2">
        <w:rPr>
          <w:rFonts w:cs="Times New Roman"/>
        </w:rPr>
        <w:t>тыс.кв</w:t>
      </w:r>
      <w:proofErr w:type="spellEnd"/>
      <w:r w:rsidRPr="00BC3EA2">
        <w:rPr>
          <w:rFonts w:cs="Times New Roman"/>
        </w:rPr>
        <w:t xml:space="preserve">. метров, в том числе : магазин «Первый выбор», магазин «Пятерочка», магазин VIP аксессуары. </w:t>
      </w:r>
    </w:p>
    <w:p w:rsidR="00C1744C" w:rsidRPr="00BC3EA2" w:rsidRDefault="00C1744C" w:rsidP="00C1744C">
      <w:pPr>
        <w:ind w:firstLine="567"/>
        <w:jc w:val="both"/>
        <w:rPr>
          <w:rFonts w:cs="Times New Roman"/>
        </w:rPr>
      </w:pPr>
      <w:r w:rsidRPr="00BC3EA2">
        <w:rPr>
          <w:rFonts w:cs="Times New Roman"/>
        </w:rPr>
        <w:t xml:space="preserve">Оборот розничной торговли по крупным и средним организациям (без организаций с численностью работающих менее 15 человек) составил в 2022 году 29,82 </w:t>
      </w:r>
      <w:proofErr w:type="spellStart"/>
      <w:r w:rsidRPr="00BC3EA2">
        <w:rPr>
          <w:rFonts w:cs="Times New Roman"/>
        </w:rPr>
        <w:t>млрд.руб</w:t>
      </w:r>
      <w:proofErr w:type="spellEnd"/>
      <w:r w:rsidRPr="00BC3EA2">
        <w:rPr>
          <w:rFonts w:cs="Times New Roman"/>
        </w:rPr>
        <w:t>., индекс физического объема – 88,7%. Причина снижения индекса физического объема – высокий уровень инфляции, в 2022 году индекс-дефлятор цен составил 116,9%.</w:t>
      </w:r>
    </w:p>
    <w:p w:rsidR="00C1744C" w:rsidRPr="00BC3EA2" w:rsidRDefault="00C1744C" w:rsidP="00C1744C">
      <w:pPr>
        <w:ind w:firstLine="567"/>
        <w:jc w:val="both"/>
        <w:rPr>
          <w:rFonts w:cs="Times New Roman"/>
        </w:rPr>
      </w:pPr>
      <w:r w:rsidRPr="00BC3EA2">
        <w:rPr>
          <w:rFonts w:cs="Times New Roman"/>
        </w:rPr>
        <w:t xml:space="preserve">В 2023 году оборот розничной торговли по городскому округу оценочно составит 31,39 </w:t>
      </w:r>
      <w:proofErr w:type="spellStart"/>
      <w:r w:rsidRPr="00BC3EA2">
        <w:rPr>
          <w:rFonts w:cs="Times New Roman"/>
        </w:rPr>
        <w:t>млрд.руб</w:t>
      </w:r>
      <w:proofErr w:type="spellEnd"/>
      <w:r w:rsidRPr="00BC3EA2">
        <w:rPr>
          <w:rFonts w:cs="Times New Roman"/>
        </w:rPr>
        <w:t xml:space="preserve">., индекс физического объема – 101%, индекс-дефлятор цен оценочно составит 104,2%. Рост обусловлен открытием новых предприятий потребительского рынка, расширение </w:t>
      </w:r>
      <w:r w:rsidRPr="00BC3EA2">
        <w:rPr>
          <w:rFonts w:cs="Times New Roman"/>
        </w:rPr>
        <w:lastRenderedPageBreak/>
        <w:t>ассортимента продукции за счет развития импортозамещения, стабилизация потребительского спроса</w:t>
      </w:r>
    </w:p>
    <w:p w:rsidR="00C1744C" w:rsidRPr="00BC3EA2" w:rsidRDefault="00C1744C" w:rsidP="00C1744C">
      <w:pPr>
        <w:ind w:firstLine="567"/>
        <w:jc w:val="both"/>
        <w:rPr>
          <w:rFonts w:cs="Times New Roman"/>
        </w:rPr>
      </w:pPr>
      <w:r w:rsidRPr="00BC3EA2">
        <w:rPr>
          <w:rFonts w:cs="Times New Roman"/>
        </w:rPr>
        <w:t>Рост оборота розничной торговли в прогнозном периоде планируется достичь за счет увеличения количества предприятий потребительского рынка, увеличения покупательской способности граждан в связи с ростом заработной платы, а также за счет роста цен на товары первой необходимости.</w:t>
      </w:r>
    </w:p>
    <w:p w:rsidR="00C1744C" w:rsidRPr="00BC3EA2" w:rsidRDefault="00C1744C" w:rsidP="00C1744C">
      <w:pPr>
        <w:ind w:firstLine="567"/>
        <w:jc w:val="both"/>
        <w:rPr>
          <w:rFonts w:cs="Times New Roman"/>
        </w:rPr>
      </w:pPr>
    </w:p>
    <w:p w:rsidR="00C1744C" w:rsidRPr="00BC3EA2" w:rsidRDefault="00C1744C" w:rsidP="00C1744C">
      <w:pPr>
        <w:ind w:firstLine="567"/>
        <w:jc w:val="both"/>
        <w:rPr>
          <w:rFonts w:cs="Times New Roman"/>
          <w:b/>
          <w:bCs/>
        </w:rPr>
      </w:pPr>
      <w:r w:rsidRPr="00BC3EA2">
        <w:rPr>
          <w:rFonts w:cs="Times New Roman"/>
        </w:rPr>
        <w:t xml:space="preserve"> </w:t>
      </w:r>
      <w:r w:rsidRPr="00BC3EA2">
        <w:rPr>
          <w:rFonts w:cs="Times New Roman"/>
          <w:b/>
          <w:bCs/>
        </w:rPr>
        <w:t>Образование</w:t>
      </w:r>
    </w:p>
    <w:p w:rsidR="00C1744C" w:rsidRPr="00BC3EA2" w:rsidRDefault="00C1744C" w:rsidP="00C1744C">
      <w:pPr>
        <w:tabs>
          <w:tab w:val="left" w:pos="567"/>
        </w:tabs>
        <w:suppressAutoHyphens/>
        <w:ind w:firstLine="567"/>
        <w:jc w:val="both"/>
        <w:rPr>
          <w:rFonts w:eastAsia="DejaVu Sans" w:cs="Times New Roman"/>
        </w:rPr>
      </w:pPr>
      <w:r w:rsidRPr="00BC3EA2">
        <w:rPr>
          <w:rFonts w:eastAsia="DejaVu Sans" w:cs="Times New Roman"/>
        </w:rPr>
        <w:t xml:space="preserve">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15 образовательных комплексов: рядом стоящие детские сады и школы реорганизованы в форме присоединения. </w:t>
      </w:r>
    </w:p>
    <w:p w:rsidR="00C1744C" w:rsidRPr="00BC3EA2" w:rsidRDefault="00C1744C" w:rsidP="00C1744C">
      <w:pPr>
        <w:tabs>
          <w:tab w:val="left" w:pos="567"/>
        </w:tabs>
        <w:suppressAutoHyphens/>
        <w:ind w:firstLine="567"/>
        <w:jc w:val="both"/>
        <w:rPr>
          <w:rFonts w:eastAsia="DejaVu Sans" w:cs="Times New Roman"/>
        </w:rPr>
      </w:pPr>
      <w:r w:rsidRPr="00BC3EA2">
        <w:rPr>
          <w:rFonts w:eastAsia="DejaVu Sans" w:cs="Times New Roman"/>
        </w:rPr>
        <w:t>В результате, с 1 сентября 2021 года образовательная сеть городского округа Электросталь была представлена двумя детскими дошкольными и девятнадцатью общеобразовательными учреждениями (из них 15 образовательных комплексов).</w:t>
      </w:r>
    </w:p>
    <w:p w:rsidR="00C1744C" w:rsidRPr="00BC3EA2" w:rsidRDefault="00C1744C" w:rsidP="00C1744C">
      <w:pPr>
        <w:ind w:firstLine="567"/>
        <w:jc w:val="both"/>
        <w:rPr>
          <w:rFonts w:eastAsia="DejaVu Sans" w:cs="Times New Roman"/>
        </w:rPr>
      </w:pPr>
      <w:r w:rsidRPr="00BC3EA2">
        <w:rPr>
          <w:rFonts w:eastAsia="DejaVu Sans" w:cs="Times New Roman"/>
        </w:rPr>
        <w:t>Реорганизация муниципальных дошкольных учреждений продолжилась в 2023 году: два муниципальных дошкольных учреждения реорганизованы путем присоединения к учреждениям общего образования.</w:t>
      </w:r>
    </w:p>
    <w:p w:rsidR="00C1744C" w:rsidRPr="00BC3EA2" w:rsidRDefault="00C1744C" w:rsidP="00C1744C">
      <w:pPr>
        <w:ind w:firstLine="567"/>
        <w:jc w:val="both"/>
        <w:rPr>
          <w:rFonts w:cs="Times New Roman"/>
        </w:rPr>
      </w:pPr>
      <w:r w:rsidRPr="00BC3EA2">
        <w:rPr>
          <w:rFonts w:cs="Times New Roman"/>
        </w:rPr>
        <w:t>С 01.08.2023 все муниципальные дошкольные учреждения городского округа Электросталь вошли в состав учреждений общего образования.</w:t>
      </w:r>
    </w:p>
    <w:p w:rsidR="00C1744C" w:rsidRPr="00BC3EA2" w:rsidRDefault="00C1744C" w:rsidP="00C1744C">
      <w:pPr>
        <w:ind w:firstLine="567"/>
        <w:jc w:val="both"/>
        <w:rPr>
          <w:rFonts w:eastAsia="DejaVu Sans" w:cs="Times New Roman"/>
        </w:rPr>
      </w:pPr>
      <w:r w:rsidRPr="00BC3EA2">
        <w:rPr>
          <w:rFonts w:eastAsia="DejaVu Sans" w:cs="Times New Roman"/>
        </w:rPr>
        <w:t xml:space="preserve">Общее число мест в дошкольных муниципальных образовательных организациях городского округа Электросталь составляет 7257 единиц. </w:t>
      </w:r>
    </w:p>
    <w:p w:rsidR="00C1744C" w:rsidRPr="00BC3EA2" w:rsidRDefault="00C1744C" w:rsidP="00C1744C">
      <w:pPr>
        <w:ind w:firstLine="567"/>
        <w:jc w:val="both"/>
        <w:rPr>
          <w:rFonts w:cs="Times New Roman"/>
        </w:rPr>
      </w:pPr>
      <w:r w:rsidRPr="00BC3EA2">
        <w:rPr>
          <w:rFonts w:cs="Times New Roman"/>
        </w:rPr>
        <w:t xml:space="preserve">Реорганизация муниципальных дошкольных учреждений не привела к сокращению мест, все дети города обеспечены местами в дошкольные учреждения на 100%. </w:t>
      </w:r>
    </w:p>
    <w:p w:rsidR="00C1744C" w:rsidRPr="00BC3EA2" w:rsidRDefault="00C1744C" w:rsidP="00C1744C">
      <w:pPr>
        <w:ind w:firstLine="567"/>
        <w:jc w:val="both"/>
        <w:rPr>
          <w:rFonts w:cs="Times New Roman"/>
        </w:rPr>
      </w:pPr>
      <w:r w:rsidRPr="00BC3EA2">
        <w:rPr>
          <w:rFonts w:cs="Times New Roman"/>
        </w:rPr>
        <w:t>Система общего образования представлена 18 муниципальными общеобразовательными учреждениями с общим количеством мест 17205 единиц.</w:t>
      </w:r>
    </w:p>
    <w:p w:rsidR="00C1744C" w:rsidRPr="00BC3EA2" w:rsidRDefault="00C1744C" w:rsidP="00C1744C">
      <w:pPr>
        <w:ind w:firstLine="567"/>
        <w:jc w:val="both"/>
        <w:rPr>
          <w:rFonts w:cs="Times New Roman"/>
        </w:rPr>
      </w:pPr>
      <w:r w:rsidRPr="00BC3EA2">
        <w:rPr>
          <w:rFonts w:cs="Times New Roman"/>
        </w:rPr>
        <w:t xml:space="preserve">Общее число обучающихся в муниципальных образовательных учреждениях составляет в 2023 году 23654 чел.   </w:t>
      </w:r>
    </w:p>
    <w:p w:rsidR="00C1744C" w:rsidRPr="00BC3EA2" w:rsidRDefault="00C1744C" w:rsidP="00C1744C">
      <w:pPr>
        <w:ind w:firstLine="567"/>
        <w:jc w:val="both"/>
        <w:rPr>
          <w:rFonts w:cs="Times New Roman"/>
        </w:rPr>
      </w:pPr>
      <w:r w:rsidRPr="00BC3EA2">
        <w:rPr>
          <w:rFonts w:cs="Times New Roman"/>
        </w:rPr>
        <w:t>В прогнозный период 2024-2026 годы численность обучающихся уменьшится (причина - прогнозируемое снижение численности населения городского округа Электросталь к 2026 году), и составит к 2026 году -23620 чел. В связи с этим, строительство новых образовательных объектов на территории городского округа не планируется.</w:t>
      </w:r>
    </w:p>
    <w:p w:rsidR="00CA1FF1" w:rsidRPr="005473E2" w:rsidRDefault="00CA1FF1" w:rsidP="00CA1FF1">
      <w:pPr>
        <w:ind w:firstLine="567"/>
        <w:jc w:val="both"/>
        <w:rPr>
          <w:rFonts w:cs="Times New Roman"/>
        </w:rPr>
      </w:pPr>
    </w:p>
    <w:sectPr w:rsidR="00CA1FF1" w:rsidRPr="005473E2" w:rsidSect="00C1744C">
      <w:footerReference w:type="default" r:id="rId12"/>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E0" w:rsidRDefault="006E65E0" w:rsidP="00D546F7">
      <w:r>
        <w:separator/>
      </w:r>
    </w:p>
  </w:endnote>
  <w:endnote w:type="continuationSeparator" w:id="0">
    <w:p w:rsidR="006E65E0" w:rsidRDefault="006E65E0"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A6" w:rsidRPr="006E74C4" w:rsidRDefault="003016A6"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E0" w:rsidRDefault="006E65E0" w:rsidP="00D546F7">
      <w:r>
        <w:separator/>
      </w:r>
    </w:p>
  </w:footnote>
  <w:footnote w:type="continuationSeparator" w:id="0">
    <w:p w:rsidR="006E65E0" w:rsidRDefault="006E65E0"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874105"/>
      <w:docPartObj>
        <w:docPartGallery w:val="Page Numbers (Top of Page)"/>
        <w:docPartUnique/>
      </w:docPartObj>
    </w:sdtPr>
    <w:sdtEndPr/>
    <w:sdtContent>
      <w:p w:rsidR="003016A6" w:rsidRDefault="003016A6">
        <w:pPr>
          <w:pStyle w:val="ab"/>
          <w:jc w:val="center"/>
        </w:pPr>
        <w:r>
          <w:rPr>
            <w:noProof/>
          </w:rPr>
          <w:fldChar w:fldCharType="begin"/>
        </w:r>
        <w:r>
          <w:rPr>
            <w:noProof/>
          </w:rPr>
          <w:instrText xml:space="preserve"> PAGE   \* MERGEFORMAT </w:instrText>
        </w:r>
        <w:r>
          <w:rPr>
            <w:noProof/>
          </w:rPr>
          <w:fldChar w:fldCharType="separate"/>
        </w:r>
        <w:r w:rsidR="0038104A">
          <w:rPr>
            <w:noProof/>
          </w:rPr>
          <w:t>13</w:t>
        </w:r>
        <w:r>
          <w:rPr>
            <w:noProof/>
          </w:rPr>
          <w:fldChar w:fldCharType="end"/>
        </w:r>
      </w:p>
    </w:sdtContent>
  </w:sdt>
  <w:p w:rsidR="003016A6" w:rsidRDefault="003016A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A6" w:rsidRDefault="003016A6">
    <w:pPr>
      <w:pStyle w:val="ab"/>
      <w:jc w:val="center"/>
    </w:pPr>
  </w:p>
  <w:p w:rsidR="003016A6" w:rsidRDefault="003016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DD241C8"/>
    <w:multiLevelType w:val="hybridMultilevel"/>
    <w:tmpl w:val="05D8A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28DF"/>
    <w:rsid w:val="00056CF2"/>
    <w:rsid w:val="00057371"/>
    <w:rsid w:val="00057A27"/>
    <w:rsid w:val="00061549"/>
    <w:rsid w:val="00062431"/>
    <w:rsid w:val="00071A04"/>
    <w:rsid w:val="00071B41"/>
    <w:rsid w:val="00076E40"/>
    <w:rsid w:val="00087992"/>
    <w:rsid w:val="000A3C7B"/>
    <w:rsid w:val="000A690C"/>
    <w:rsid w:val="000B06CB"/>
    <w:rsid w:val="000B1806"/>
    <w:rsid w:val="000B2572"/>
    <w:rsid w:val="000B6BB8"/>
    <w:rsid w:val="000C04AB"/>
    <w:rsid w:val="000C78F2"/>
    <w:rsid w:val="000D2078"/>
    <w:rsid w:val="000D64B0"/>
    <w:rsid w:val="000F1450"/>
    <w:rsid w:val="000F2FB1"/>
    <w:rsid w:val="00113AAA"/>
    <w:rsid w:val="001164B6"/>
    <w:rsid w:val="00120DF6"/>
    <w:rsid w:val="001222C4"/>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6D8E"/>
    <w:rsid w:val="002105CB"/>
    <w:rsid w:val="00214D60"/>
    <w:rsid w:val="002200D0"/>
    <w:rsid w:val="0022336E"/>
    <w:rsid w:val="00225058"/>
    <w:rsid w:val="00232328"/>
    <w:rsid w:val="00235A39"/>
    <w:rsid w:val="0024163F"/>
    <w:rsid w:val="0024607F"/>
    <w:rsid w:val="00272CCD"/>
    <w:rsid w:val="002829D2"/>
    <w:rsid w:val="002841D6"/>
    <w:rsid w:val="00285C49"/>
    <w:rsid w:val="002940E0"/>
    <w:rsid w:val="002948BE"/>
    <w:rsid w:val="00294FB6"/>
    <w:rsid w:val="002B4746"/>
    <w:rsid w:val="002C0583"/>
    <w:rsid w:val="002C1120"/>
    <w:rsid w:val="002C12AE"/>
    <w:rsid w:val="002C17D9"/>
    <w:rsid w:val="002D4479"/>
    <w:rsid w:val="002D7C2C"/>
    <w:rsid w:val="002E5EAB"/>
    <w:rsid w:val="002F0EBB"/>
    <w:rsid w:val="002F31DF"/>
    <w:rsid w:val="002F5655"/>
    <w:rsid w:val="002F745E"/>
    <w:rsid w:val="003016A6"/>
    <w:rsid w:val="003165E4"/>
    <w:rsid w:val="00317A0D"/>
    <w:rsid w:val="003211B0"/>
    <w:rsid w:val="00322FA4"/>
    <w:rsid w:val="00323EBF"/>
    <w:rsid w:val="00324A1C"/>
    <w:rsid w:val="0034074F"/>
    <w:rsid w:val="003411CE"/>
    <w:rsid w:val="00347F7A"/>
    <w:rsid w:val="003532F8"/>
    <w:rsid w:val="00361CEF"/>
    <w:rsid w:val="00365A5B"/>
    <w:rsid w:val="00371332"/>
    <w:rsid w:val="0038104A"/>
    <w:rsid w:val="00382198"/>
    <w:rsid w:val="0038430D"/>
    <w:rsid w:val="0039166D"/>
    <w:rsid w:val="00392F1A"/>
    <w:rsid w:val="00393C20"/>
    <w:rsid w:val="0039794C"/>
    <w:rsid w:val="003A0776"/>
    <w:rsid w:val="003A1640"/>
    <w:rsid w:val="003A779B"/>
    <w:rsid w:val="003B0AB4"/>
    <w:rsid w:val="003B48BE"/>
    <w:rsid w:val="003B6DBF"/>
    <w:rsid w:val="003B7096"/>
    <w:rsid w:val="003C0D95"/>
    <w:rsid w:val="003D68C2"/>
    <w:rsid w:val="00400D86"/>
    <w:rsid w:val="004071E2"/>
    <w:rsid w:val="00410163"/>
    <w:rsid w:val="0041354F"/>
    <w:rsid w:val="00413E0D"/>
    <w:rsid w:val="004141B9"/>
    <w:rsid w:val="0041669B"/>
    <w:rsid w:val="004325A0"/>
    <w:rsid w:val="0045465E"/>
    <w:rsid w:val="00461C39"/>
    <w:rsid w:val="004746BB"/>
    <w:rsid w:val="004762DB"/>
    <w:rsid w:val="004843B9"/>
    <w:rsid w:val="00494CD0"/>
    <w:rsid w:val="00495141"/>
    <w:rsid w:val="004B32CF"/>
    <w:rsid w:val="004C1B71"/>
    <w:rsid w:val="004C1BE3"/>
    <w:rsid w:val="004C3B05"/>
    <w:rsid w:val="004D05C3"/>
    <w:rsid w:val="004D2FCB"/>
    <w:rsid w:val="004D37E6"/>
    <w:rsid w:val="004D4855"/>
    <w:rsid w:val="004E12D9"/>
    <w:rsid w:val="004E4838"/>
    <w:rsid w:val="004F6260"/>
    <w:rsid w:val="00503F06"/>
    <w:rsid w:val="00510676"/>
    <w:rsid w:val="0051118A"/>
    <w:rsid w:val="00513B09"/>
    <w:rsid w:val="00513D38"/>
    <w:rsid w:val="005223B0"/>
    <w:rsid w:val="00523AC7"/>
    <w:rsid w:val="005248DD"/>
    <w:rsid w:val="0053125A"/>
    <w:rsid w:val="00532B35"/>
    <w:rsid w:val="00534856"/>
    <w:rsid w:val="00534A8D"/>
    <w:rsid w:val="0054151E"/>
    <w:rsid w:val="0054414A"/>
    <w:rsid w:val="005473E2"/>
    <w:rsid w:val="00551653"/>
    <w:rsid w:val="005523DD"/>
    <w:rsid w:val="00563433"/>
    <w:rsid w:val="00565AE9"/>
    <w:rsid w:val="00567C32"/>
    <w:rsid w:val="00567D03"/>
    <w:rsid w:val="005848E7"/>
    <w:rsid w:val="00593B6D"/>
    <w:rsid w:val="005956C8"/>
    <w:rsid w:val="005A064D"/>
    <w:rsid w:val="005A3E00"/>
    <w:rsid w:val="005B2B5A"/>
    <w:rsid w:val="005B787D"/>
    <w:rsid w:val="005C0FE0"/>
    <w:rsid w:val="005C2ABC"/>
    <w:rsid w:val="005C3A01"/>
    <w:rsid w:val="005C453A"/>
    <w:rsid w:val="005D210D"/>
    <w:rsid w:val="005E07C3"/>
    <w:rsid w:val="00600070"/>
    <w:rsid w:val="00602F10"/>
    <w:rsid w:val="0060369F"/>
    <w:rsid w:val="006066B9"/>
    <w:rsid w:val="00607DA3"/>
    <w:rsid w:val="00612DB5"/>
    <w:rsid w:val="00614C61"/>
    <w:rsid w:val="00624E9B"/>
    <w:rsid w:val="0063054A"/>
    <w:rsid w:val="00633D13"/>
    <w:rsid w:val="00634087"/>
    <w:rsid w:val="0064274B"/>
    <w:rsid w:val="00652B2C"/>
    <w:rsid w:val="00652E41"/>
    <w:rsid w:val="006541BC"/>
    <w:rsid w:val="0066149C"/>
    <w:rsid w:val="0067038C"/>
    <w:rsid w:val="00671D64"/>
    <w:rsid w:val="0067228F"/>
    <w:rsid w:val="0067424C"/>
    <w:rsid w:val="00674677"/>
    <w:rsid w:val="006948BD"/>
    <w:rsid w:val="00695D3C"/>
    <w:rsid w:val="006A2C39"/>
    <w:rsid w:val="006A369B"/>
    <w:rsid w:val="006A4A11"/>
    <w:rsid w:val="006B0545"/>
    <w:rsid w:val="006C1909"/>
    <w:rsid w:val="006C4D54"/>
    <w:rsid w:val="006D3247"/>
    <w:rsid w:val="006D40B2"/>
    <w:rsid w:val="006D4794"/>
    <w:rsid w:val="006D7CCF"/>
    <w:rsid w:val="006E12B5"/>
    <w:rsid w:val="006E2F87"/>
    <w:rsid w:val="006E4711"/>
    <w:rsid w:val="006E65E0"/>
    <w:rsid w:val="006E74C4"/>
    <w:rsid w:val="006F5859"/>
    <w:rsid w:val="00707B78"/>
    <w:rsid w:val="00712B5A"/>
    <w:rsid w:val="00721C90"/>
    <w:rsid w:val="00721E90"/>
    <w:rsid w:val="00724941"/>
    <w:rsid w:val="007474E1"/>
    <w:rsid w:val="00750F5D"/>
    <w:rsid w:val="00751F1A"/>
    <w:rsid w:val="00754B03"/>
    <w:rsid w:val="0075722E"/>
    <w:rsid w:val="007611E3"/>
    <w:rsid w:val="00764646"/>
    <w:rsid w:val="0076520C"/>
    <w:rsid w:val="007652C3"/>
    <w:rsid w:val="00780E54"/>
    <w:rsid w:val="00791C6A"/>
    <w:rsid w:val="00796A52"/>
    <w:rsid w:val="007A1EB9"/>
    <w:rsid w:val="007A4DE8"/>
    <w:rsid w:val="007B1CFB"/>
    <w:rsid w:val="007B35EB"/>
    <w:rsid w:val="007B43EF"/>
    <w:rsid w:val="007B67F1"/>
    <w:rsid w:val="007C0D02"/>
    <w:rsid w:val="007C1F92"/>
    <w:rsid w:val="007D2D0D"/>
    <w:rsid w:val="007D5248"/>
    <w:rsid w:val="007D5C3A"/>
    <w:rsid w:val="007D794A"/>
    <w:rsid w:val="007E052F"/>
    <w:rsid w:val="00800B87"/>
    <w:rsid w:val="00801EA5"/>
    <w:rsid w:val="00804229"/>
    <w:rsid w:val="00804A80"/>
    <w:rsid w:val="0080621A"/>
    <w:rsid w:val="0081003D"/>
    <w:rsid w:val="0081326C"/>
    <w:rsid w:val="0081731B"/>
    <w:rsid w:val="00824A63"/>
    <w:rsid w:val="00826FFA"/>
    <w:rsid w:val="008270DC"/>
    <w:rsid w:val="00840BB6"/>
    <w:rsid w:val="00842C78"/>
    <w:rsid w:val="00845381"/>
    <w:rsid w:val="00856BE0"/>
    <w:rsid w:val="00867ABC"/>
    <w:rsid w:val="00875CBC"/>
    <w:rsid w:val="008815CB"/>
    <w:rsid w:val="00885137"/>
    <w:rsid w:val="00887339"/>
    <w:rsid w:val="00894F10"/>
    <w:rsid w:val="008A27F8"/>
    <w:rsid w:val="008B0764"/>
    <w:rsid w:val="008B215C"/>
    <w:rsid w:val="008B2D31"/>
    <w:rsid w:val="008B7539"/>
    <w:rsid w:val="008C306B"/>
    <w:rsid w:val="008C5D7A"/>
    <w:rsid w:val="008C5F3B"/>
    <w:rsid w:val="008C7E4A"/>
    <w:rsid w:val="008E1400"/>
    <w:rsid w:val="008E61A7"/>
    <w:rsid w:val="008F3227"/>
    <w:rsid w:val="0090165B"/>
    <w:rsid w:val="0091062D"/>
    <w:rsid w:val="00922F19"/>
    <w:rsid w:val="009316C0"/>
    <w:rsid w:val="00932605"/>
    <w:rsid w:val="00941173"/>
    <w:rsid w:val="00944EC8"/>
    <w:rsid w:val="00954270"/>
    <w:rsid w:val="00962B99"/>
    <w:rsid w:val="00965094"/>
    <w:rsid w:val="00973A2C"/>
    <w:rsid w:val="009746AA"/>
    <w:rsid w:val="00977AD6"/>
    <w:rsid w:val="00981226"/>
    <w:rsid w:val="00983A94"/>
    <w:rsid w:val="00992CC9"/>
    <w:rsid w:val="00995553"/>
    <w:rsid w:val="0099566B"/>
    <w:rsid w:val="009A00B4"/>
    <w:rsid w:val="009A0FDB"/>
    <w:rsid w:val="009A3F83"/>
    <w:rsid w:val="009A471B"/>
    <w:rsid w:val="009C3EF4"/>
    <w:rsid w:val="009C6D7A"/>
    <w:rsid w:val="009D0E21"/>
    <w:rsid w:val="009D1770"/>
    <w:rsid w:val="009E39FB"/>
    <w:rsid w:val="009E43A7"/>
    <w:rsid w:val="009E6B3B"/>
    <w:rsid w:val="009F0F1F"/>
    <w:rsid w:val="009F6DA9"/>
    <w:rsid w:val="00A06BE3"/>
    <w:rsid w:val="00A07D65"/>
    <w:rsid w:val="00A10057"/>
    <w:rsid w:val="00A21782"/>
    <w:rsid w:val="00A23311"/>
    <w:rsid w:val="00A305C8"/>
    <w:rsid w:val="00A31C1F"/>
    <w:rsid w:val="00A3530A"/>
    <w:rsid w:val="00A36C61"/>
    <w:rsid w:val="00A37F90"/>
    <w:rsid w:val="00A428F3"/>
    <w:rsid w:val="00A51898"/>
    <w:rsid w:val="00A5608E"/>
    <w:rsid w:val="00A57020"/>
    <w:rsid w:val="00A6332C"/>
    <w:rsid w:val="00A67834"/>
    <w:rsid w:val="00A73188"/>
    <w:rsid w:val="00A73E81"/>
    <w:rsid w:val="00A76607"/>
    <w:rsid w:val="00A834E6"/>
    <w:rsid w:val="00A955A1"/>
    <w:rsid w:val="00A979ED"/>
    <w:rsid w:val="00AA0B10"/>
    <w:rsid w:val="00AB7577"/>
    <w:rsid w:val="00AB7A17"/>
    <w:rsid w:val="00AC2AD8"/>
    <w:rsid w:val="00AC3060"/>
    <w:rsid w:val="00AD2CBC"/>
    <w:rsid w:val="00AD52E1"/>
    <w:rsid w:val="00AE2A94"/>
    <w:rsid w:val="00AF673B"/>
    <w:rsid w:val="00B066C0"/>
    <w:rsid w:val="00B06948"/>
    <w:rsid w:val="00B06CA5"/>
    <w:rsid w:val="00B11734"/>
    <w:rsid w:val="00B123E0"/>
    <w:rsid w:val="00B3085C"/>
    <w:rsid w:val="00B31B13"/>
    <w:rsid w:val="00B31EDC"/>
    <w:rsid w:val="00B35581"/>
    <w:rsid w:val="00B36434"/>
    <w:rsid w:val="00B3794C"/>
    <w:rsid w:val="00B42B92"/>
    <w:rsid w:val="00B45810"/>
    <w:rsid w:val="00B46121"/>
    <w:rsid w:val="00B47AF6"/>
    <w:rsid w:val="00B500BD"/>
    <w:rsid w:val="00B52BB3"/>
    <w:rsid w:val="00B5496B"/>
    <w:rsid w:val="00B60B22"/>
    <w:rsid w:val="00B647D3"/>
    <w:rsid w:val="00B660F8"/>
    <w:rsid w:val="00B664EF"/>
    <w:rsid w:val="00BA7709"/>
    <w:rsid w:val="00BB3285"/>
    <w:rsid w:val="00BC666E"/>
    <w:rsid w:val="00BD0F35"/>
    <w:rsid w:val="00BD10AF"/>
    <w:rsid w:val="00BD22BB"/>
    <w:rsid w:val="00BD2683"/>
    <w:rsid w:val="00BD2FEA"/>
    <w:rsid w:val="00BD7A34"/>
    <w:rsid w:val="00BE5BED"/>
    <w:rsid w:val="00BF3D16"/>
    <w:rsid w:val="00BF6D88"/>
    <w:rsid w:val="00BF757B"/>
    <w:rsid w:val="00C06251"/>
    <w:rsid w:val="00C14087"/>
    <w:rsid w:val="00C142BC"/>
    <w:rsid w:val="00C1744C"/>
    <w:rsid w:val="00C22149"/>
    <w:rsid w:val="00C23291"/>
    <w:rsid w:val="00C35D9D"/>
    <w:rsid w:val="00C3658F"/>
    <w:rsid w:val="00C4501A"/>
    <w:rsid w:val="00C54646"/>
    <w:rsid w:val="00C57610"/>
    <w:rsid w:val="00C57B5B"/>
    <w:rsid w:val="00C66C5F"/>
    <w:rsid w:val="00C73E9C"/>
    <w:rsid w:val="00C75EDE"/>
    <w:rsid w:val="00C77BE2"/>
    <w:rsid w:val="00C8500A"/>
    <w:rsid w:val="00C87F9B"/>
    <w:rsid w:val="00CA020C"/>
    <w:rsid w:val="00CA1FF1"/>
    <w:rsid w:val="00CA2128"/>
    <w:rsid w:val="00CA4C70"/>
    <w:rsid w:val="00CC0350"/>
    <w:rsid w:val="00CC0F2D"/>
    <w:rsid w:val="00CC47F5"/>
    <w:rsid w:val="00CC4AEE"/>
    <w:rsid w:val="00CC58B2"/>
    <w:rsid w:val="00CC795D"/>
    <w:rsid w:val="00CD289F"/>
    <w:rsid w:val="00CD3E4F"/>
    <w:rsid w:val="00CD53F7"/>
    <w:rsid w:val="00CE0105"/>
    <w:rsid w:val="00CE0BBF"/>
    <w:rsid w:val="00CE5509"/>
    <w:rsid w:val="00CE69A2"/>
    <w:rsid w:val="00CF09B1"/>
    <w:rsid w:val="00CF25AE"/>
    <w:rsid w:val="00CF361A"/>
    <w:rsid w:val="00CF6267"/>
    <w:rsid w:val="00CF7112"/>
    <w:rsid w:val="00D00363"/>
    <w:rsid w:val="00D00A08"/>
    <w:rsid w:val="00D04EC7"/>
    <w:rsid w:val="00D102B4"/>
    <w:rsid w:val="00D1310F"/>
    <w:rsid w:val="00D20750"/>
    <w:rsid w:val="00D24BF3"/>
    <w:rsid w:val="00D36AB5"/>
    <w:rsid w:val="00D37CEF"/>
    <w:rsid w:val="00D40660"/>
    <w:rsid w:val="00D53838"/>
    <w:rsid w:val="00D546F7"/>
    <w:rsid w:val="00D67519"/>
    <w:rsid w:val="00D70BD9"/>
    <w:rsid w:val="00D70E8F"/>
    <w:rsid w:val="00D77E3D"/>
    <w:rsid w:val="00D9295E"/>
    <w:rsid w:val="00D93DF9"/>
    <w:rsid w:val="00D96DB7"/>
    <w:rsid w:val="00DA1E7B"/>
    <w:rsid w:val="00DA3CB8"/>
    <w:rsid w:val="00DB1008"/>
    <w:rsid w:val="00DB26C1"/>
    <w:rsid w:val="00DB2CCD"/>
    <w:rsid w:val="00DB4655"/>
    <w:rsid w:val="00DC292A"/>
    <w:rsid w:val="00DC3A2A"/>
    <w:rsid w:val="00DD2ED7"/>
    <w:rsid w:val="00DE526F"/>
    <w:rsid w:val="00DE58AC"/>
    <w:rsid w:val="00DF105C"/>
    <w:rsid w:val="00DF5292"/>
    <w:rsid w:val="00E00494"/>
    <w:rsid w:val="00E018B9"/>
    <w:rsid w:val="00E04256"/>
    <w:rsid w:val="00E063B4"/>
    <w:rsid w:val="00E07580"/>
    <w:rsid w:val="00E159AD"/>
    <w:rsid w:val="00E15C26"/>
    <w:rsid w:val="00E2231C"/>
    <w:rsid w:val="00E274E4"/>
    <w:rsid w:val="00E33DE9"/>
    <w:rsid w:val="00E412B7"/>
    <w:rsid w:val="00E42BF2"/>
    <w:rsid w:val="00E43CA2"/>
    <w:rsid w:val="00E502E8"/>
    <w:rsid w:val="00E51794"/>
    <w:rsid w:val="00E64A58"/>
    <w:rsid w:val="00E65A39"/>
    <w:rsid w:val="00E6649D"/>
    <w:rsid w:val="00E67667"/>
    <w:rsid w:val="00E7479D"/>
    <w:rsid w:val="00E76300"/>
    <w:rsid w:val="00E80A7D"/>
    <w:rsid w:val="00E8158F"/>
    <w:rsid w:val="00E85D1B"/>
    <w:rsid w:val="00E9047C"/>
    <w:rsid w:val="00E96435"/>
    <w:rsid w:val="00EA3558"/>
    <w:rsid w:val="00EA6405"/>
    <w:rsid w:val="00EA6666"/>
    <w:rsid w:val="00EC13A5"/>
    <w:rsid w:val="00EC2B78"/>
    <w:rsid w:val="00ED38B8"/>
    <w:rsid w:val="00ED5C79"/>
    <w:rsid w:val="00EF4F60"/>
    <w:rsid w:val="00EF5D60"/>
    <w:rsid w:val="00F01393"/>
    <w:rsid w:val="00F042FE"/>
    <w:rsid w:val="00F1019A"/>
    <w:rsid w:val="00F148CE"/>
    <w:rsid w:val="00F31591"/>
    <w:rsid w:val="00F36A58"/>
    <w:rsid w:val="00F41F6A"/>
    <w:rsid w:val="00F4265B"/>
    <w:rsid w:val="00F4496D"/>
    <w:rsid w:val="00F45151"/>
    <w:rsid w:val="00F460A6"/>
    <w:rsid w:val="00F46819"/>
    <w:rsid w:val="00F47B49"/>
    <w:rsid w:val="00F50721"/>
    <w:rsid w:val="00F52112"/>
    <w:rsid w:val="00F535F5"/>
    <w:rsid w:val="00F53D85"/>
    <w:rsid w:val="00F606D7"/>
    <w:rsid w:val="00F660E4"/>
    <w:rsid w:val="00F80784"/>
    <w:rsid w:val="00F93EF6"/>
    <w:rsid w:val="00F94D0E"/>
    <w:rsid w:val="00F94FF5"/>
    <w:rsid w:val="00F97109"/>
    <w:rsid w:val="00FA098C"/>
    <w:rsid w:val="00FB10AF"/>
    <w:rsid w:val="00FB6556"/>
    <w:rsid w:val="00FB7053"/>
    <w:rsid w:val="00FC1985"/>
    <w:rsid w:val="00FE1069"/>
    <w:rsid w:val="00FE2983"/>
    <w:rsid w:val="00FE4282"/>
    <w:rsid w:val="00FE7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123CCD-D6B8-4209-9874-9EBF4B20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CA1FF1"/>
  </w:style>
  <w:style w:type="table" w:customStyle="1" w:styleId="TableNormal1">
    <w:name w:val="Table Normal1"/>
    <w:uiPriority w:val="2"/>
    <w:semiHidden/>
    <w:unhideWhenUsed/>
    <w:qFormat/>
    <w:rsid w:val="00CA1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2">
    <w:name w:val="Нет списка12"/>
    <w:next w:val="a2"/>
    <w:uiPriority w:val="99"/>
    <w:semiHidden/>
    <w:unhideWhenUsed/>
    <w:rsid w:val="00CA1FF1"/>
  </w:style>
  <w:style w:type="numbering" w:customStyle="1" w:styleId="111">
    <w:name w:val="Нет списка111"/>
    <w:next w:val="a2"/>
    <w:uiPriority w:val="99"/>
    <w:semiHidden/>
    <w:unhideWhenUsed/>
    <w:rsid w:val="00CA1FF1"/>
  </w:style>
  <w:style w:type="table" w:customStyle="1" w:styleId="10">
    <w:name w:val="Сетка таблицы1"/>
    <w:basedOn w:val="a1"/>
    <w:next w:val="af7"/>
    <w:uiPriority w:val="39"/>
    <w:rsid w:val="00CA1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A1FF1"/>
    <w:pPr>
      <w:spacing w:before="100" w:beforeAutospacing="1" w:after="100" w:afterAutospacing="1"/>
    </w:pPr>
    <w:rPr>
      <w:rFonts w:ascii="Tahoma" w:hAnsi="Tahoma" w:cs="Tahoma"/>
      <w:color w:val="FF0000"/>
      <w:sz w:val="18"/>
      <w:szCs w:val="18"/>
    </w:rPr>
  </w:style>
  <w:style w:type="paragraph" w:customStyle="1" w:styleId="xl93">
    <w:name w:val="xl93"/>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4">
    <w:name w:val="xl94"/>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5">
    <w:name w:val="xl95"/>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96">
    <w:name w:val="xl96"/>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97">
    <w:name w:val="xl97"/>
    <w:basedOn w:val="a"/>
    <w:rsid w:val="00CA1FF1"/>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98">
    <w:name w:val="xl9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99">
    <w:name w:val="xl99"/>
    <w:basedOn w:val="a"/>
    <w:rsid w:val="00CA1FF1"/>
    <w:pPr>
      <w:pBdr>
        <w:top w:val="single" w:sz="4" w:space="0" w:color="BFBFBF"/>
        <w:left w:val="single" w:sz="4" w:space="0" w:color="auto"/>
        <w:bottom w:val="single" w:sz="4" w:space="0" w:color="BFBFBF"/>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100">
    <w:name w:val="xl100"/>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jc w:val="center"/>
      <w:textAlignment w:val="center"/>
    </w:pPr>
    <w:rPr>
      <w:rFonts w:ascii="Tahoma" w:hAnsi="Tahoma" w:cs="Tahoma"/>
      <w:sz w:val="18"/>
      <w:szCs w:val="18"/>
    </w:rPr>
  </w:style>
  <w:style w:type="paragraph" w:customStyle="1" w:styleId="xl101">
    <w:name w:val="xl101"/>
    <w:basedOn w:val="a"/>
    <w:rsid w:val="00CA1FF1"/>
    <w:pPr>
      <w:pBdr>
        <w:top w:val="single" w:sz="4" w:space="0" w:color="BFBFBF"/>
        <w:left w:val="single" w:sz="4" w:space="0" w:color="auto"/>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2">
    <w:name w:val="xl102"/>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3">
    <w:name w:val="xl103"/>
    <w:basedOn w:val="a"/>
    <w:rsid w:val="00CA1FF1"/>
    <w:pPr>
      <w:pBdr>
        <w:top w:val="single" w:sz="4" w:space="0" w:color="BFBFBF"/>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4">
    <w:name w:val="xl104"/>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105">
    <w:name w:val="xl105"/>
    <w:basedOn w:val="a"/>
    <w:rsid w:val="00CA1FF1"/>
    <w:pPr>
      <w:pBdr>
        <w:top w:val="single" w:sz="4" w:space="0" w:color="C0C0C0"/>
        <w:left w:val="single" w:sz="4" w:space="0" w:color="D9D9D9"/>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106">
    <w:name w:val="xl106"/>
    <w:basedOn w:val="a"/>
    <w:rsid w:val="00CA1FF1"/>
    <w:pPr>
      <w:pBdr>
        <w:top w:val="single" w:sz="4" w:space="0" w:color="BFBFBF"/>
        <w:left w:val="single" w:sz="4" w:space="0" w:color="auto"/>
        <w:bottom w:val="single" w:sz="4" w:space="0" w:color="BFBFBF"/>
      </w:pBdr>
      <w:spacing w:before="100" w:beforeAutospacing="1" w:after="100" w:afterAutospacing="1"/>
      <w:textAlignment w:val="center"/>
    </w:pPr>
    <w:rPr>
      <w:rFonts w:ascii="Tahoma" w:hAnsi="Tahoma" w:cs="Tahoma"/>
      <w:sz w:val="18"/>
      <w:szCs w:val="18"/>
    </w:rPr>
  </w:style>
  <w:style w:type="paragraph" w:customStyle="1" w:styleId="xl107">
    <w:name w:val="xl107"/>
    <w:basedOn w:val="a"/>
    <w:rsid w:val="00CA1FF1"/>
    <w:pPr>
      <w:pBdr>
        <w:top w:val="single" w:sz="4" w:space="0" w:color="BFBFBF"/>
        <w:left w:val="single" w:sz="4" w:space="0" w:color="D9D9D9"/>
        <w:bottom w:val="single" w:sz="4" w:space="0" w:color="BFBFBF"/>
        <w:right w:val="single" w:sz="4" w:space="0" w:color="BFBFBF"/>
      </w:pBdr>
      <w:spacing w:before="100" w:beforeAutospacing="1" w:after="100" w:afterAutospacing="1"/>
      <w:jc w:val="center"/>
      <w:textAlignment w:val="center"/>
    </w:pPr>
    <w:rPr>
      <w:rFonts w:ascii="Tahoma" w:hAnsi="Tahoma" w:cs="Tahoma"/>
      <w:sz w:val="18"/>
      <w:szCs w:val="18"/>
    </w:rPr>
  </w:style>
  <w:style w:type="paragraph" w:customStyle="1" w:styleId="xl108">
    <w:name w:val="xl108"/>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09">
    <w:name w:val="xl10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0">
    <w:name w:val="xl110"/>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111">
    <w:name w:val="xl111"/>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2">
    <w:name w:val="xl112"/>
    <w:basedOn w:val="a"/>
    <w:rsid w:val="00CA1FF1"/>
    <w:pPr>
      <w:pBdr>
        <w:top w:val="single" w:sz="4" w:space="0" w:color="D9D9D9"/>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3">
    <w:name w:val="xl113"/>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sz w:val="18"/>
      <w:szCs w:val="18"/>
    </w:rPr>
  </w:style>
  <w:style w:type="paragraph" w:customStyle="1" w:styleId="xl114">
    <w:name w:val="xl114"/>
    <w:basedOn w:val="a"/>
    <w:rsid w:val="00CA1FF1"/>
    <w:pPr>
      <w:pBdr>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5">
    <w:name w:val="xl115"/>
    <w:basedOn w:val="a"/>
    <w:rsid w:val="00CA1FF1"/>
    <w:pPr>
      <w:pBdr>
        <w:top w:val="single" w:sz="4" w:space="0" w:color="BFBFBF"/>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6">
    <w:name w:val="xl116"/>
    <w:basedOn w:val="a"/>
    <w:rsid w:val="00CA1FF1"/>
    <w:pPr>
      <w:pBdr>
        <w:top w:val="single" w:sz="4" w:space="0" w:color="C0C0C0"/>
        <w:left w:val="single" w:sz="4" w:space="0" w:color="C0C0C0"/>
        <w:bottom w:val="single" w:sz="4" w:space="0" w:color="BFBFBF"/>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7">
    <w:name w:val="xl117"/>
    <w:basedOn w:val="a"/>
    <w:rsid w:val="00CA1FF1"/>
    <w:pPr>
      <w:pBdr>
        <w:top w:val="single" w:sz="4" w:space="0" w:color="C0C0C0"/>
        <w:left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18">
    <w:name w:val="xl118"/>
    <w:basedOn w:val="a"/>
    <w:rsid w:val="00CA1FF1"/>
    <w:pPr>
      <w:pBdr>
        <w:top w:val="single" w:sz="4" w:space="0" w:color="D9D9D9"/>
        <w:left w:val="single" w:sz="4" w:space="0" w:color="D9D9D9"/>
        <w:bottom w:val="single" w:sz="4" w:space="0" w:color="D9D9D9"/>
        <w:right w:val="single" w:sz="4" w:space="0" w:color="D9D9D9"/>
      </w:pBdr>
      <w:spacing w:before="100" w:beforeAutospacing="1" w:after="100" w:afterAutospacing="1"/>
      <w:textAlignment w:val="center"/>
    </w:pPr>
    <w:rPr>
      <w:rFonts w:ascii="Tahoma" w:hAnsi="Tahoma" w:cs="Tahoma"/>
      <w:color w:val="FF0000"/>
      <w:sz w:val="18"/>
      <w:szCs w:val="18"/>
    </w:rPr>
  </w:style>
  <w:style w:type="paragraph" w:customStyle="1" w:styleId="xl119">
    <w:name w:val="xl119"/>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120">
    <w:name w:val="xl120"/>
    <w:basedOn w:val="a"/>
    <w:rsid w:val="00CA1FF1"/>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Tahoma" w:hAnsi="Tahoma" w:cs="Tahoma"/>
      <w:color w:val="FF0000"/>
      <w:sz w:val="18"/>
      <w:szCs w:val="18"/>
    </w:rPr>
  </w:style>
  <w:style w:type="paragraph" w:customStyle="1" w:styleId="xl121">
    <w:name w:val="xl121"/>
    <w:basedOn w:val="a"/>
    <w:rsid w:val="00CA1FF1"/>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800659138">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99127-194B-4848-9C2A-2DECBBE7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8848</Words>
  <Characters>50437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veltsnn</dc:creator>
  <cp:keywords/>
  <dc:description/>
  <cp:lastModifiedBy>Татьяна Побежимова</cp:lastModifiedBy>
  <cp:revision>8</cp:revision>
  <cp:lastPrinted>2023-11-08T07:19:00Z</cp:lastPrinted>
  <dcterms:created xsi:type="dcterms:W3CDTF">2023-11-08T06:34:00Z</dcterms:created>
  <dcterms:modified xsi:type="dcterms:W3CDTF">2023-11-10T13:25:00Z</dcterms:modified>
</cp:coreProperties>
</file>