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0D" w:rsidRDefault="008F580D" w:rsidP="008F58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D" w:rsidRPr="00537687" w:rsidRDefault="008F580D" w:rsidP="008F58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580D" w:rsidRPr="00FC1C14" w:rsidRDefault="008F580D" w:rsidP="008F58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580D" w:rsidRPr="0058294C" w:rsidRDefault="008F580D" w:rsidP="008F58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F580D" w:rsidRPr="00537687" w:rsidRDefault="008F580D" w:rsidP="008F580D">
      <w:pPr>
        <w:ind w:left="-1560" w:right="-567"/>
        <w:jc w:val="center"/>
        <w:rPr>
          <w:b/>
        </w:rPr>
      </w:pPr>
    </w:p>
    <w:p w:rsidR="00B54FC2" w:rsidRPr="008F580D" w:rsidRDefault="008F580D" w:rsidP="008F580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 xml:space="preserve">______________ № </w:t>
      </w:r>
      <w:r w:rsidRPr="00537687">
        <w:t>_</w:t>
      </w:r>
      <w:r>
        <w:t>____________</w:t>
      </w:r>
    </w:p>
    <w:p w:rsidR="008E70C2" w:rsidRDefault="00F30AF7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1E07C2" w:rsidRPr="00F30AF7" w:rsidRDefault="001E07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1E07C2" w:rsidRDefault="001E07C2" w:rsidP="00FC335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37118" w:rsidRDefault="000464CA" w:rsidP="0003711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</w:t>
      </w:r>
      <w:r w:rsidR="00037118">
        <w:rPr>
          <w:rFonts w:cs="Times New Roman"/>
        </w:rPr>
        <w:t>), изложив пункт 1.2 раздела 1 Порядка в следующей редакции:</w:t>
      </w:r>
    </w:p>
    <w:p w:rsidR="003E4B2C" w:rsidRDefault="00037118" w:rsidP="003E4B2C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Pr="003A25EF">
        <w:rPr>
          <w:rFonts w:cs="Times New Roman"/>
        </w:rPr>
        <w:t>«</w:t>
      </w:r>
      <w:r w:rsidR="003E4B2C">
        <w:t>1.2. Целевая с</w:t>
      </w:r>
      <w:r w:rsidR="003E4B2C">
        <w:rPr>
          <w:rFonts w:eastAsia="Calibri"/>
        </w:rPr>
        <w:t xml:space="preserve">убсидия предоставляется учреждениям </w:t>
      </w:r>
      <w:r w:rsidR="003E4B2C">
        <w:t xml:space="preserve">на следующие цели: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3E4B2C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B2C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B2C" w:rsidRPr="004E700B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00B">
        <w:rPr>
          <w:rFonts w:ascii="Times New Roman" w:hAnsi="Times New Roman" w:cs="Times New Roman"/>
          <w:sz w:val="24"/>
          <w:szCs w:val="24"/>
        </w:rPr>
        <w:t xml:space="preserve">23) 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 w:rsidRPr="004E700B">
        <w:rPr>
          <w:rFonts w:ascii="Times New Roman" w:hAnsi="Times New Roman" w:cs="Times New Roman"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37118" w:rsidRPr="003E4B2C" w:rsidRDefault="003E4B2C" w:rsidP="003E4B2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24)</w:t>
      </w:r>
      <w:r w:rsidRPr="003E4B2C">
        <w:t xml:space="preserve"> </w:t>
      </w:r>
      <w:r w:rsidRPr="00361795">
        <w:rPr>
          <w:color w:val="000000"/>
          <w:spacing w:val="-2"/>
        </w:rPr>
        <w:t>с</w:t>
      </w:r>
      <w:r w:rsidRPr="00361795">
        <w:t>охранение достигнутого уровня заработной платы педагогических работников организаций дополнительного образования сферы образования</w:t>
      </w:r>
      <w:r w:rsidRPr="00361795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</w:t>
      </w:r>
      <w:r w:rsidRPr="003E4B2C">
        <w:t>(в рамках муниципальной программы городского округа Электросталь Московской области «Образование»)</w:t>
      </w:r>
      <w:r w:rsidR="00037118" w:rsidRPr="003E4B2C">
        <w:t>.</w:t>
      </w:r>
      <w:r>
        <w:t>»</w:t>
      </w:r>
    </w:p>
    <w:p w:rsidR="002549F2" w:rsidRPr="00441510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№1152/10)</w:t>
      </w:r>
      <w:r w:rsidR="002549F2" w:rsidRPr="008832DF">
        <w:rPr>
          <w:rFonts w:cs="Times New Roman"/>
        </w:rPr>
        <w:t xml:space="preserve">, </w:t>
      </w:r>
      <w:r w:rsidR="002549F2" w:rsidRPr="00441510">
        <w:rPr>
          <w:rFonts w:cs="Times New Roman"/>
        </w:rPr>
        <w:t>изложив пункт 1.2 раздела 1 Порядка в следующей редакции:</w:t>
      </w:r>
    </w:p>
    <w:p w:rsidR="003E4B2C" w:rsidRDefault="002549F2" w:rsidP="003E4B2C">
      <w:pPr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</w:r>
      <w:r w:rsidRPr="001E07C2">
        <w:rPr>
          <w:rFonts w:cs="Times New Roman"/>
        </w:rPr>
        <w:t>«</w:t>
      </w:r>
      <w:r w:rsidR="003E4B2C">
        <w:t>1.2. Целевая с</w:t>
      </w:r>
      <w:r w:rsidR="003E4B2C">
        <w:rPr>
          <w:rFonts w:eastAsia="Calibri"/>
        </w:rPr>
        <w:t xml:space="preserve">убсидия предоставляется учреждениям </w:t>
      </w:r>
      <w:r w:rsidR="003E4B2C">
        <w:t xml:space="preserve">на следующие цели: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3E4B2C" w:rsidRDefault="003E4B2C" w:rsidP="003E4B2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3E4B2C" w:rsidRDefault="003E4B2C" w:rsidP="003E4B2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3E4B2C" w:rsidRDefault="003E4B2C" w:rsidP="003E4B2C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Pr="000A315D">
        <w:t xml:space="preserve">      </w:t>
      </w:r>
    </w:p>
    <w:p w:rsidR="00AE66EE" w:rsidRPr="00FC3357" w:rsidRDefault="003E4B2C" w:rsidP="00FC3357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</w:rPr>
        <w:t xml:space="preserve">25) сохранение достигнутого уровня заработной платы отдельных категорий работников муниципальных организаций (учреждений) социальной </w:t>
      </w:r>
      <w:r w:rsidRPr="00FC3357">
        <w:rPr>
          <w:rFonts w:cs="Times New Roman"/>
        </w:rPr>
        <w:t>сферы (в рамках муниципальной программы городского округа Электросталь Московской области «Культура и туризм»)».</w:t>
      </w:r>
    </w:p>
    <w:p w:rsidR="000464CA" w:rsidRDefault="001E07C2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0464CA" w:rsidRPr="00CD2A4E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="000464CA" w:rsidRPr="00CD2A4E">
        <w:rPr>
          <w:rFonts w:cs="Times New Roman"/>
        </w:rPr>
        <w:t>.</w:t>
      </w:r>
    </w:p>
    <w:p w:rsidR="003E4B2C" w:rsidRPr="00303166" w:rsidRDefault="001E07C2" w:rsidP="003E4B2C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4</w:t>
      </w:r>
      <w:r w:rsidR="000464CA" w:rsidRPr="00CD2A4E">
        <w:rPr>
          <w:rFonts w:cs="Times New Roman"/>
        </w:rPr>
        <w:t xml:space="preserve">.  </w:t>
      </w:r>
      <w:r w:rsidR="003E4B2C" w:rsidRPr="00303166">
        <w:rPr>
          <w:rFonts w:cs="Times New Roman"/>
        </w:rPr>
        <w:t xml:space="preserve">Настоящее постановление вступает </w:t>
      </w:r>
      <w:r w:rsidR="003E4B2C" w:rsidRPr="00303166">
        <w:rPr>
          <w:rFonts w:eastAsiaTheme="minorHAnsi" w:cs="Times New Roman"/>
          <w:lang w:eastAsia="en-US"/>
        </w:rPr>
        <w:t xml:space="preserve">в силу </w:t>
      </w:r>
      <w:r w:rsidR="003E4B2C">
        <w:rPr>
          <w:rFonts w:eastAsiaTheme="minorHAnsi" w:cs="Times New Roman"/>
          <w:lang w:eastAsia="en-US"/>
        </w:rPr>
        <w:t>после его официального опубликования</w:t>
      </w:r>
      <w:r w:rsidR="003E4B2C" w:rsidRPr="00303166">
        <w:rPr>
          <w:rFonts w:eastAsiaTheme="minorHAnsi" w:cs="Times New Roman"/>
          <w:lang w:eastAsia="en-US"/>
        </w:rPr>
        <w:t>.</w:t>
      </w:r>
    </w:p>
    <w:p w:rsidR="000464CA" w:rsidRPr="00CD2A4E" w:rsidRDefault="001E07C2" w:rsidP="003E4B2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0464CA" w:rsidRPr="00CD2A4E">
        <w:rPr>
          <w:rFonts w:cs="Times New Roman"/>
        </w:rPr>
        <w:t xml:space="preserve">. Контроль за </w:t>
      </w:r>
      <w:r w:rsidR="005352DF">
        <w:rPr>
          <w:rFonts w:cs="Times New Roman"/>
        </w:rPr>
        <w:t>исполнением</w:t>
      </w:r>
      <w:r w:rsidR="000464CA" w:rsidRPr="00CD2A4E">
        <w:rPr>
          <w:rFonts w:cs="Times New Roman"/>
        </w:rPr>
        <w:t xml:space="preserve"> настоящего постановления возложить на первого заместителя </w:t>
      </w:r>
      <w:r w:rsidR="006122B8">
        <w:rPr>
          <w:rFonts w:cs="Times New Roman"/>
        </w:rPr>
        <w:t>Главы</w:t>
      </w:r>
      <w:r w:rsidR="000464CA" w:rsidRPr="00CD2A4E">
        <w:rPr>
          <w:rFonts w:cs="Times New Roman"/>
        </w:rPr>
        <w:t xml:space="preserve"> городского округа Электросталь Московской области Печникову О.В.</w:t>
      </w: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1E07C2">
      <w:headerReference w:type="default" r:id="rId9"/>
      <w:pgSz w:w="11906" w:h="16838"/>
      <w:pgMar w:top="993" w:right="707" w:bottom="1418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61" w:rsidRDefault="00296C61" w:rsidP="00D81500">
      <w:r>
        <w:separator/>
      </w:r>
    </w:p>
  </w:endnote>
  <w:endnote w:type="continuationSeparator" w:id="0">
    <w:p w:rsidR="00296C61" w:rsidRDefault="00296C61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61" w:rsidRDefault="00296C61" w:rsidP="00D81500">
      <w:r>
        <w:separator/>
      </w:r>
    </w:p>
  </w:footnote>
  <w:footnote w:type="continuationSeparator" w:id="0">
    <w:p w:rsidR="00296C61" w:rsidRDefault="00296C61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203378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0E2AED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305D"/>
    <w:rsid w:val="00097381"/>
    <w:rsid w:val="000A1D82"/>
    <w:rsid w:val="000C01FE"/>
    <w:rsid w:val="000C1249"/>
    <w:rsid w:val="000C4A72"/>
    <w:rsid w:val="000D0912"/>
    <w:rsid w:val="000E2AED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6BFA"/>
    <w:rsid w:val="001D2D99"/>
    <w:rsid w:val="001E07C2"/>
    <w:rsid w:val="001E285A"/>
    <w:rsid w:val="00203378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96C61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3C1C"/>
    <w:rsid w:val="00387035"/>
    <w:rsid w:val="00393064"/>
    <w:rsid w:val="003967D1"/>
    <w:rsid w:val="003A25EF"/>
    <w:rsid w:val="003B5831"/>
    <w:rsid w:val="003D06E4"/>
    <w:rsid w:val="003E4B2C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B4898"/>
    <w:rsid w:val="004D66EA"/>
    <w:rsid w:val="004E2325"/>
    <w:rsid w:val="00512107"/>
    <w:rsid w:val="005352DF"/>
    <w:rsid w:val="0056639B"/>
    <w:rsid w:val="0057786D"/>
    <w:rsid w:val="00585212"/>
    <w:rsid w:val="00595F3B"/>
    <w:rsid w:val="005B48CD"/>
    <w:rsid w:val="005E3073"/>
    <w:rsid w:val="005E5B64"/>
    <w:rsid w:val="00603B97"/>
    <w:rsid w:val="00606CCE"/>
    <w:rsid w:val="00606D0A"/>
    <w:rsid w:val="006122B8"/>
    <w:rsid w:val="00634225"/>
    <w:rsid w:val="0063498B"/>
    <w:rsid w:val="006356B7"/>
    <w:rsid w:val="00660FCF"/>
    <w:rsid w:val="00662E00"/>
    <w:rsid w:val="00663BDF"/>
    <w:rsid w:val="006A4330"/>
    <w:rsid w:val="006A7F78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37352"/>
    <w:rsid w:val="00737894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F149D"/>
    <w:rsid w:val="008056F7"/>
    <w:rsid w:val="00806669"/>
    <w:rsid w:val="0082115E"/>
    <w:rsid w:val="00827D90"/>
    <w:rsid w:val="0084010C"/>
    <w:rsid w:val="008412CB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57B38"/>
    <w:rsid w:val="00962204"/>
    <w:rsid w:val="00985F40"/>
    <w:rsid w:val="00990566"/>
    <w:rsid w:val="009B7C7F"/>
    <w:rsid w:val="009C0597"/>
    <w:rsid w:val="009C4ACE"/>
    <w:rsid w:val="00A203B6"/>
    <w:rsid w:val="00A20FEA"/>
    <w:rsid w:val="00A2362D"/>
    <w:rsid w:val="00A4492E"/>
    <w:rsid w:val="00A4696F"/>
    <w:rsid w:val="00A46B72"/>
    <w:rsid w:val="00A56DC9"/>
    <w:rsid w:val="00A615AB"/>
    <w:rsid w:val="00A80090"/>
    <w:rsid w:val="00A85710"/>
    <w:rsid w:val="00A950C3"/>
    <w:rsid w:val="00AA1C2B"/>
    <w:rsid w:val="00AA344A"/>
    <w:rsid w:val="00AC590E"/>
    <w:rsid w:val="00AC650D"/>
    <w:rsid w:val="00AE656B"/>
    <w:rsid w:val="00AE66EE"/>
    <w:rsid w:val="00AF454C"/>
    <w:rsid w:val="00B05F92"/>
    <w:rsid w:val="00B31C79"/>
    <w:rsid w:val="00B54568"/>
    <w:rsid w:val="00B54FC2"/>
    <w:rsid w:val="00B56493"/>
    <w:rsid w:val="00BC3C6B"/>
    <w:rsid w:val="00BF0CB7"/>
    <w:rsid w:val="00BF163E"/>
    <w:rsid w:val="00C05335"/>
    <w:rsid w:val="00C15CC3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5DFC"/>
    <w:rsid w:val="00CF676D"/>
    <w:rsid w:val="00D01BB0"/>
    <w:rsid w:val="00D02FFF"/>
    <w:rsid w:val="00D61EA5"/>
    <w:rsid w:val="00D81500"/>
    <w:rsid w:val="00D8195B"/>
    <w:rsid w:val="00D95332"/>
    <w:rsid w:val="00D9674A"/>
    <w:rsid w:val="00DA556F"/>
    <w:rsid w:val="00DB0DFC"/>
    <w:rsid w:val="00DB7E6E"/>
    <w:rsid w:val="00DC7134"/>
    <w:rsid w:val="00DE6676"/>
    <w:rsid w:val="00DF57D9"/>
    <w:rsid w:val="00E03D22"/>
    <w:rsid w:val="00E068DD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E45E5"/>
    <w:rsid w:val="00EE785A"/>
    <w:rsid w:val="00EF35B6"/>
    <w:rsid w:val="00EF50C0"/>
    <w:rsid w:val="00EF5BDB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05B1"/>
    <w:rsid w:val="00FB65EF"/>
    <w:rsid w:val="00FB7570"/>
    <w:rsid w:val="00FC3357"/>
    <w:rsid w:val="00FD313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5:docId w15:val="{EF776AEC-AA1E-49C3-BA66-6B5B1FE4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52</cp:revision>
  <cp:lastPrinted>2023-12-22T06:05:00Z</cp:lastPrinted>
  <dcterms:created xsi:type="dcterms:W3CDTF">2021-06-01T14:41:00Z</dcterms:created>
  <dcterms:modified xsi:type="dcterms:W3CDTF">2024-11-28T07:52:00Z</dcterms:modified>
</cp:coreProperties>
</file>