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ind/>
        <w:jc w:val="center"/>
        <w:rPr>
          <w:rFonts w:ascii="PT Astra Serif" w:hAnsi="PT Astra Serif"/>
          <w:b w:val="1"/>
          <w:sz w:val="28"/>
        </w:rPr>
      </w:pPr>
    </w:p>
    <w:p w14:paraId="03000000">
      <w:pPr>
        <w:ind/>
        <w:jc w:val="center"/>
        <w:rPr>
          <w:b w:val="1"/>
        </w:rPr>
      </w:pPr>
      <w:r>
        <w:rPr>
          <w:b w:val="1"/>
        </w:rPr>
        <w:t>Минфин и ФНС разработали дополнительные льготы по земельному налогу</w:t>
      </w:r>
    </w:p>
    <w:p w14:paraId="04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Минфин и Федеральная налоговая служба (ФНС) разработали дополнительные льготы по земельному налогу, необходимость которых отмечена председателем правительства Михаилом Мишустиным. Для этого подготовлен проект изменений в Налоговый кодекс.</w:t>
      </w:r>
    </w:p>
    <w:p w14:paraId="05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Речь об освобождении от уплаты земельного налога за один земельный участок площадью до 6 соток независимо от места его нахождения.</w:t>
      </w:r>
    </w:p>
    <w:p w14:paraId="06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Эта льгота распространится на:</w:t>
      </w:r>
    </w:p>
    <w:p w14:paraId="07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▶</w:t>
      </w:r>
      <w:r>
        <w:rPr>
          <w:rStyle w:val="Style_1_ch"/>
          <w:rFonts w:ascii="PT Astra Serif" w:hAnsi="PT Astra Serif"/>
          <w:sz w:val="28"/>
        </w:rPr>
        <w:t>ветеранов боевых действий;</w:t>
      </w:r>
    </w:p>
    <w:p w14:paraId="08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▶</w:t>
      </w:r>
      <w:r>
        <w:rPr>
          <w:rStyle w:val="Style_1_ch"/>
          <w:rFonts w:ascii="PT Astra Serif" w:hAnsi="PT Astra Serif"/>
          <w:sz w:val="28"/>
        </w:rPr>
        <w:t>военнослужащих, которые участвовали или участвуют в спецоперации;</w:t>
      </w:r>
    </w:p>
    <w:p w14:paraId="09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▶</w:t>
      </w:r>
      <w:r>
        <w:rPr>
          <w:rStyle w:val="Style_1_ch"/>
          <w:rFonts w:ascii="PT Astra Serif" w:hAnsi="PT Astra Serif"/>
          <w:sz w:val="28"/>
        </w:rPr>
        <w:t>членов их семей.</w:t>
      </w:r>
    </w:p>
    <w:p w14:paraId="0A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Новая льгота по земельному налогу будет действовать начиная с налогового периода 2022 года и дальше. Распространится она на весь календарный год, в котором получатель участвовал в военной операции (а не только на те месяцы, которые фактически длилась военная служба), уточняют в ФНС.</w:t>
      </w:r>
    </w:p>
    <w:p w14:paraId="0B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Применяться льготы будут автоматически — они будут проактивными (то есть беззаявительными). </w:t>
      </w:r>
    </w:p>
    <w:p w14:paraId="0C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Необходимой для их применения информацией налоговые органы и Минобороны обменяются самостоятельно, поясняется в сообщении.</w:t>
      </w:r>
    </w:p>
    <w:p w14:paraId="0D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E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2025-06-22T14:36:39Z</dcterms:modified>
</cp:coreProperties>
</file>