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both"/>
        <w:rPr>
          <w:b w:val="0"/>
        </w:rPr>
      </w:pPr>
      <w:r>
        <w:rPr>
          <w:b w:val="0"/>
        </w:rPr>
        <w:tab/>
      </w:r>
      <w:r>
        <w:rPr>
          <w:rFonts w:ascii="Times New Roman" w:hAnsi="Times New Roman"/>
          <w:sz w:val="28"/>
        </w:rPr>
        <w:t>Прокуратура города Электростали Московской области разъясняет:</w:t>
      </w:r>
    </w:p>
    <w:p w14:paraId="02000000">
      <w:pPr>
        <w:spacing w:after="0" w:before="0"/>
        <w:ind w:firstLine="709" w:left="0" w:right="0"/>
        <w:jc w:val="center"/>
      </w:pPr>
    </w:p>
    <w:p w14:paraId="03000000">
      <w:pPr>
        <w:ind/>
        <w:jc w:val="center"/>
        <w:rPr>
          <w:b w:val="1"/>
        </w:rPr>
      </w:pPr>
      <w:r>
        <w:rPr>
          <w:b w:val="1"/>
        </w:rPr>
        <w:t>Установлена продолжительность рабочего времени педагогов в школах и колледжах</w:t>
      </w:r>
    </w:p>
    <w:p w14:paraId="04000000">
      <w:pPr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 </w:t>
      </w:r>
      <w:r>
        <w:rPr>
          <w:rStyle w:val="Style_1_ch"/>
          <w:rFonts w:ascii="PT Astra Serif" w:hAnsi="PT Astra Serif"/>
          <w:sz w:val="28"/>
        </w:rPr>
        <w:t xml:space="preserve"> С 1 сентября 2025 года нововведения, касающиеся продолжительности рабочего времени и норм часов педагогической работы за ставку заработной платы для педагогов, работающих в организациях, которые занимаются образовательной деятельностью по основным и дополнительным общеобразовательным программам, программам среднего профессионального образования и соответствующим дополнительным профессиональным программам, а также основным программам профессионального обучения. </w:t>
      </w:r>
    </w:p>
    <w:p w14:paraId="05000000">
      <w:pPr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Приказ</w:t>
      </w:r>
      <w:r>
        <w:rPr>
          <w:rStyle w:val="Style_1_ch"/>
          <w:rFonts w:ascii="PT Astra Serif" w:hAnsi="PT Astra Serif"/>
          <w:sz w:val="28"/>
        </w:rPr>
        <w:t xml:space="preserve"> </w:t>
      </w:r>
      <w:r>
        <w:rPr>
          <w:rStyle w:val="Style_1_ch"/>
          <w:rFonts w:ascii="PT Astra Serif" w:hAnsi="PT Astra Serif"/>
          <w:sz w:val="28"/>
        </w:rPr>
        <w:t>Министерства</w:t>
      </w:r>
      <w:r>
        <w:rPr>
          <w:rStyle w:val="Style_1_ch"/>
          <w:rFonts w:ascii="PT Astra Serif" w:hAnsi="PT Astra Serif"/>
          <w:sz w:val="28"/>
        </w:rPr>
        <w:t xml:space="preserve"> </w:t>
      </w:r>
      <w:r>
        <w:rPr>
          <w:rStyle w:val="Style_1_ch"/>
          <w:rFonts w:ascii="PT Astra Serif" w:hAnsi="PT Astra Serif"/>
          <w:sz w:val="28"/>
        </w:rPr>
        <w:t>просвещения</w:t>
      </w:r>
      <w:r>
        <w:rPr>
          <w:rStyle w:val="Style_1_ch"/>
          <w:rFonts w:ascii="PT Astra Serif" w:hAnsi="PT Astra Serif"/>
          <w:sz w:val="28"/>
        </w:rPr>
        <w:t xml:space="preserve"> </w:t>
      </w:r>
      <w:r>
        <w:rPr>
          <w:rStyle w:val="Style_1_ch"/>
          <w:rFonts w:ascii="PT Astra Serif" w:hAnsi="PT Astra Serif"/>
          <w:sz w:val="28"/>
        </w:rPr>
        <w:t>Российской</w:t>
      </w:r>
      <w:r>
        <w:rPr>
          <w:rStyle w:val="Style_1_ch"/>
          <w:rFonts w:ascii="PT Astra Serif" w:hAnsi="PT Astra Serif"/>
          <w:sz w:val="28"/>
        </w:rPr>
        <w:t xml:space="preserve"> </w:t>
      </w:r>
      <w:r>
        <w:rPr>
          <w:rStyle w:val="Style_1_ch"/>
          <w:rFonts w:ascii="PT Astra Serif" w:hAnsi="PT Astra Serif"/>
          <w:sz w:val="28"/>
        </w:rPr>
        <w:t>Федерации</w:t>
      </w:r>
      <w:r>
        <w:rPr>
          <w:rStyle w:val="Style_1_ch"/>
          <w:rFonts w:ascii="PT Astra Serif" w:hAnsi="PT Astra Serif"/>
          <w:sz w:val="28"/>
        </w:rPr>
        <w:t xml:space="preserve"> </w:t>
      </w:r>
      <w:r>
        <w:rPr>
          <w:rStyle w:val="Style_1_ch"/>
          <w:rFonts w:ascii="PT Astra Serif" w:hAnsi="PT Astra Serif"/>
          <w:sz w:val="28"/>
        </w:rPr>
        <w:t>от</w:t>
      </w:r>
      <w:r>
        <w:rPr>
          <w:rStyle w:val="Style_1_ch"/>
          <w:rFonts w:ascii="PT Astra Serif" w:hAnsi="PT Astra Serif"/>
          <w:sz w:val="28"/>
        </w:rPr>
        <w:t xml:space="preserve"> 04.04.2025 </w:t>
      </w:r>
      <w:r>
        <w:rPr>
          <w:rStyle w:val="Style_1_ch"/>
          <w:rFonts w:ascii="PT Astra Serif" w:hAnsi="PT Astra Serif"/>
          <w:sz w:val="28"/>
        </w:rPr>
        <w:t>№</w:t>
      </w:r>
      <w:r>
        <w:rPr>
          <w:rStyle w:val="Style_1_ch"/>
          <w:rFonts w:ascii="PT Astra Serif" w:hAnsi="PT Astra Serif"/>
          <w:sz w:val="28"/>
        </w:rPr>
        <w:t xml:space="preserve"> 269 </w:t>
      </w:r>
      <w:r>
        <w:rPr>
          <w:rStyle w:val="Style_1_ch"/>
          <w:rFonts w:ascii="PT Astra Serif" w:hAnsi="PT Astra Serif"/>
          <w:sz w:val="28"/>
        </w:rPr>
        <w:t>установит</w:t>
      </w:r>
      <w:r>
        <w:rPr>
          <w:rStyle w:val="Style_1_ch"/>
          <w:rFonts w:ascii="PT Astra Serif" w:hAnsi="PT Astra Serif"/>
          <w:sz w:val="28"/>
        </w:rPr>
        <w:t xml:space="preserve"> </w:t>
      </w:r>
      <w:r>
        <w:rPr>
          <w:rStyle w:val="Style_1_ch"/>
          <w:rFonts w:ascii="PT Astra Serif" w:hAnsi="PT Astra Serif"/>
          <w:sz w:val="28"/>
        </w:rPr>
        <w:t>продолжительность</w:t>
      </w:r>
      <w:r>
        <w:rPr>
          <w:rStyle w:val="Style_1_ch"/>
          <w:rFonts w:ascii="PT Astra Serif" w:hAnsi="PT Astra Serif"/>
          <w:sz w:val="28"/>
        </w:rPr>
        <w:t xml:space="preserve"> </w:t>
      </w:r>
      <w:r>
        <w:rPr>
          <w:rStyle w:val="Style_1_ch"/>
          <w:rFonts w:ascii="PT Astra Serif" w:hAnsi="PT Astra Serif"/>
          <w:sz w:val="28"/>
        </w:rPr>
        <w:t>рабочего</w:t>
      </w:r>
      <w:r>
        <w:rPr>
          <w:rStyle w:val="Style_1_ch"/>
          <w:rFonts w:ascii="PT Astra Serif" w:hAnsi="PT Astra Serif"/>
          <w:sz w:val="28"/>
        </w:rPr>
        <w:t xml:space="preserve"> </w:t>
      </w:r>
      <w:r>
        <w:rPr>
          <w:rStyle w:val="Style_1_ch"/>
          <w:rFonts w:ascii="PT Astra Serif" w:hAnsi="PT Astra Serif"/>
          <w:sz w:val="28"/>
        </w:rPr>
        <w:t>времени</w:t>
      </w:r>
      <w:r>
        <w:rPr>
          <w:rStyle w:val="Style_1_ch"/>
          <w:rFonts w:ascii="PT Astra Serif" w:hAnsi="PT Astra Serif"/>
          <w:sz w:val="28"/>
        </w:rPr>
        <w:t xml:space="preserve"> 36 </w:t>
      </w:r>
      <w:r>
        <w:rPr>
          <w:rStyle w:val="Style_1_ch"/>
          <w:rFonts w:ascii="PT Astra Serif" w:hAnsi="PT Astra Serif"/>
          <w:sz w:val="28"/>
        </w:rPr>
        <w:t>часов</w:t>
      </w:r>
      <w:r>
        <w:rPr>
          <w:rStyle w:val="Style_1_ch"/>
          <w:rFonts w:ascii="PT Astra Serif" w:hAnsi="PT Astra Serif"/>
          <w:sz w:val="28"/>
        </w:rPr>
        <w:t xml:space="preserve"> </w:t>
      </w:r>
      <w:r>
        <w:rPr>
          <w:rStyle w:val="Style_1_ch"/>
          <w:rFonts w:ascii="PT Astra Serif" w:hAnsi="PT Astra Serif"/>
          <w:sz w:val="28"/>
        </w:rPr>
        <w:t>в</w:t>
      </w:r>
      <w:r>
        <w:rPr>
          <w:rStyle w:val="Style_1_ch"/>
          <w:rFonts w:ascii="PT Astra Serif" w:hAnsi="PT Astra Serif"/>
          <w:sz w:val="28"/>
        </w:rPr>
        <w:t xml:space="preserve"> </w:t>
      </w:r>
      <w:r>
        <w:rPr>
          <w:rStyle w:val="Style_1_ch"/>
          <w:rFonts w:ascii="PT Astra Serif" w:hAnsi="PT Astra Serif"/>
          <w:sz w:val="28"/>
        </w:rPr>
        <w:t>неделю</w:t>
      </w:r>
      <w:r>
        <w:rPr>
          <w:rStyle w:val="Style_1_ch"/>
          <w:rFonts w:ascii="PT Astra Serif" w:hAnsi="PT Astra Serif"/>
          <w:sz w:val="28"/>
        </w:rPr>
        <w:t xml:space="preserve">: </w:t>
      </w:r>
      <w:r>
        <w:rPr>
          <w:rStyle w:val="Style_1_ch"/>
          <w:rFonts w:ascii="PT Astra Serif" w:hAnsi="PT Astra Serif"/>
          <w:sz w:val="28"/>
        </w:rPr>
        <w:t>педагогам</w:t>
      </w:r>
      <w:r>
        <w:rPr>
          <w:rStyle w:val="Style_1_ch"/>
          <w:rFonts w:ascii="PT Astra Serif" w:hAnsi="PT Astra Serif"/>
          <w:sz w:val="28"/>
        </w:rPr>
        <w:t>-</w:t>
      </w:r>
      <w:r>
        <w:rPr>
          <w:rStyle w:val="Style_1_ch"/>
          <w:rFonts w:ascii="PT Astra Serif" w:hAnsi="PT Astra Serif"/>
          <w:sz w:val="28"/>
        </w:rPr>
        <w:t>психологам</w:t>
      </w:r>
      <w:r>
        <w:rPr>
          <w:rStyle w:val="Style_1_ch"/>
          <w:rFonts w:ascii="PT Astra Serif" w:hAnsi="PT Astra Serif"/>
          <w:sz w:val="28"/>
        </w:rPr>
        <w:t xml:space="preserve">, </w:t>
      </w:r>
      <w:r>
        <w:rPr>
          <w:rStyle w:val="Style_1_ch"/>
          <w:rFonts w:ascii="PT Astra Serif" w:hAnsi="PT Astra Serif"/>
          <w:sz w:val="28"/>
        </w:rPr>
        <w:t>социал</w:t>
      </w:r>
      <w:r>
        <w:rPr>
          <w:rStyle w:val="Style_1_ch"/>
          <w:rFonts w:ascii="PT Astra Serif" w:hAnsi="PT Astra Serif"/>
          <w:sz w:val="28"/>
        </w:rPr>
        <w:t xml:space="preserve">ьным педагогам, педагогам-организаторам. мастерам производственного обучения, методистам и старшим методистам, советникам директора по воспитанию и взаимодействию с детскими общественными объединениями и др. </w:t>
      </w:r>
    </w:p>
    <w:p w14:paraId="06000000">
      <w:pPr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 Вместе с этим определены категории работников, продолжительность рабочего времени которых будет составлять 18, 20, 24, 25, 30 часов. </w:t>
      </w:r>
    </w:p>
    <w:p w14:paraId="07000000">
      <w:pPr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 Одновременно документом утвержден порядок определения учебной нагрузки педагогических работников организаций, осуществляющих образовательную деятельность по основным и дополнительным общеобразовательным программам, образовательным программам СПО и соответствующим дополнительным профессиональным программам, основным программам профессионального обучения, оговариваемой в трудовом договоре, основания ее изменения и случаи установления верхнего предела указанной учебной нагрузки.</w:t>
      </w:r>
    </w:p>
    <w:p w14:paraId="08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</w:p>
    <w:p w14:paraId="09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Разъяснение подготовила помощник прокурора г. Электростали Самохина А.А. </w:t>
      </w:r>
    </w:p>
    <w:sectPr>
      <w:pgSz w:h="16838" w:orient="portrait" w:w="11906"/>
      <w:pgMar w:bottom="1134" w:footer="708" w:gutter="0" w:header="708" w:left="1701" w:right="566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Normal (Web)"/>
    <w:basedOn w:val="Style_1"/>
    <w:link w:val="Style_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_ch" w:type="character">
    <w:name w:val="Normal (Web)"/>
    <w:basedOn w:val="Style_1_ch"/>
    <w:link w:val="Style_8"/>
    <w:rPr>
      <w:rFonts w:ascii="Times New Roman" w:hAnsi="Times New Roman"/>
      <w:sz w:val="24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ConsPlusNormal"/>
    <w:link w:val="Style_11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11_ch" w:type="character">
    <w:name w:val="ConsPlusNormal"/>
    <w:link w:val="Style_11"/>
    <w:rPr>
      <w:rFonts w:ascii="Times New Roman" w:hAnsi="Times New Roman"/>
      <w:sz w:val="24"/>
    </w:rPr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eader"/>
    <w:basedOn w:val="Style_1"/>
    <w:link w:val="Style_1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3_ch" w:type="character">
    <w:name w:val="header"/>
    <w:basedOn w:val="Style_1_ch"/>
    <w:link w:val="Style_13"/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5"/>
    <w:next w:val="Style_1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2025-06-22T14:27:30Z</dcterms:modified>
</cp:coreProperties>
</file>