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91" w:rsidRDefault="00C86328">
      <w:pPr>
        <w:widowControl w:val="0"/>
        <w:jc w:val="center"/>
        <w:outlineLvl w:val="1"/>
        <w:rPr>
          <w:b/>
        </w:rPr>
      </w:pPr>
      <w:r>
        <w:rPr>
          <w:b/>
        </w:rPr>
        <w:t>СВОДНЫЙ ОТЧЕТ</w:t>
      </w:r>
    </w:p>
    <w:p w:rsidR="009D0A91" w:rsidRDefault="00C86328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результатах проведения оценки регулирующего воздействия проекта</w:t>
      </w:r>
    </w:p>
    <w:p w:rsidR="009D0A91" w:rsidRDefault="00C86328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постановления Администрации городского округа Электросталь Московской области</w:t>
      </w:r>
    </w:p>
    <w:p w:rsidR="009D0A91" w:rsidRDefault="00C86328">
      <w:pPr>
        <w:spacing w:line="240" w:lineRule="exact"/>
        <w:jc w:val="center"/>
      </w:pPr>
      <w:bookmarkStart w:id="0" w:name="Par434"/>
      <w:bookmarkEnd w:id="0"/>
      <w:r>
        <w:t>«Об утверждении положения о проведении открытого аукциона в электронной форме на право размещения</w:t>
      </w:r>
      <w:r>
        <w:t xml:space="preserve"> объектов бизнеса муниципальным бюджетным учреждением культуры «Парки Электростали» на территории парк</w:t>
      </w:r>
      <w:proofErr w:type="gramStart"/>
      <w:r>
        <w:t>а(</w:t>
      </w:r>
      <w:proofErr w:type="gramEnd"/>
      <w:r>
        <w:t>парков) и иных зон отдыха городского округа Электросталь Московской области»</w:t>
      </w:r>
    </w:p>
    <w:p w:rsidR="009D0A91" w:rsidRDefault="009D0A91">
      <w:pPr>
        <w:jc w:val="center"/>
        <w:rPr>
          <w:color w:val="000000"/>
        </w:rPr>
      </w:pPr>
    </w:p>
    <w:p w:rsidR="009D0A91" w:rsidRDefault="009D0A91">
      <w:pPr>
        <w:jc w:val="center"/>
        <w:rPr>
          <w:b/>
        </w:rPr>
      </w:pPr>
    </w:p>
    <w:p w:rsidR="009D0A91" w:rsidRDefault="00C86328">
      <w:pPr>
        <w:pStyle w:val="ConsPlusNonformat"/>
        <w:numPr>
          <w:ilvl w:val="0"/>
          <w:numId w:val="2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информация</w:t>
      </w:r>
    </w:p>
    <w:p w:rsidR="009D0A91" w:rsidRDefault="009D0A91">
      <w:pPr>
        <w:pStyle w:val="ConsPlusNonformat"/>
        <w:ind w:left="567"/>
        <w:rPr>
          <w:rFonts w:ascii="Times New Roman" w:hAnsi="Times New Roman"/>
          <w:b/>
          <w:sz w:val="24"/>
        </w:rPr>
      </w:pPr>
    </w:p>
    <w:p w:rsidR="009D0A91" w:rsidRDefault="00C86328">
      <w:pPr>
        <w:pStyle w:val="ConsPlusNonformat"/>
        <w:numPr>
          <w:ilvl w:val="1"/>
          <w:numId w:val="3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Орган-разработчик проекта муниципального нормативного п</w:t>
      </w:r>
      <w:r>
        <w:rPr>
          <w:rFonts w:ascii="Times New Roman" w:hAnsi="Times New Roman"/>
          <w:sz w:val="24"/>
        </w:rPr>
        <w:t>равового акта:</w:t>
      </w:r>
    </w:p>
    <w:p w:rsidR="009D0A91" w:rsidRDefault="00614DC0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МКУ «</w:t>
      </w:r>
      <w:r w:rsidR="00C86328" w:rsidRPr="00614DC0">
        <w:rPr>
          <w:rFonts w:ascii="Times New Roman" w:hAnsi="Times New Roman"/>
          <w:sz w:val="22"/>
        </w:rPr>
        <w:t>Департамент по развитию промышленности, ин</w:t>
      </w:r>
      <w:r>
        <w:rPr>
          <w:rFonts w:ascii="Times New Roman" w:hAnsi="Times New Roman"/>
          <w:sz w:val="22"/>
        </w:rPr>
        <w:t>вестиционной политике и рекламе»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</w:rPr>
      </w:pPr>
    </w:p>
    <w:p w:rsidR="009D0A91" w:rsidRDefault="00C86328">
      <w:pPr>
        <w:pStyle w:val="ConsPlusNonformat"/>
        <w:numPr>
          <w:ilvl w:val="1"/>
          <w:numId w:val="3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и наименование проекта нормативного правового акта:</w:t>
      </w:r>
    </w:p>
    <w:p w:rsidR="009D0A91" w:rsidRDefault="00C86328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постановления Администрации городского округа Электросталь Московской области «Об утверждении пол</w:t>
      </w:r>
      <w:r>
        <w:rPr>
          <w:rFonts w:ascii="Times New Roman" w:hAnsi="Times New Roman"/>
          <w:sz w:val="24"/>
        </w:rPr>
        <w:t>ожения о проведении открытого аукциона в электронной форме на право размещения объектов бизнеса муниципальным бюджетным учреждением культуры «Парки Электростали» на территории парка</w:t>
      </w:r>
      <w:r w:rsidR="00614D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(парков) и иных зон отдыха городского округа Электросталь Московской област</w:t>
      </w:r>
      <w:r>
        <w:rPr>
          <w:rFonts w:ascii="Times New Roman" w:hAnsi="Times New Roman"/>
          <w:sz w:val="24"/>
        </w:rPr>
        <w:t>и</w:t>
      </w:r>
      <w:r>
        <w:t xml:space="preserve"> </w:t>
      </w:r>
      <w:r>
        <w:rPr>
          <w:rFonts w:ascii="Times New Roman" w:hAnsi="Times New Roman"/>
          <w:color w:val="000000"/>
          <w:sz w:val="24"/>
        </w:rPr>
        <w:t>(далее – проект постановления)</w:t>
      </w:r>
      <w:r>
        <w:rPr>
          <w:color w:val="000000"/>
        </w:rPr>
        <w:t>.</w:t>
      </w:r>
    </w:p>
    <w:p w:rsidR="009D0A91" w:rsidRDefault="009D0A91">
      <w:pPr>
        <w:spacing w:line="240" w:lineRule="exact"/>
        <w:jc w:val="center"/>
      </w:pP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</w:rPr>
      </w:pPr>
    </w:p>
    <w:p w:rsidR="009D0A91" w:rsidRDefault="00C86328">
      <w:pPr>
        <w:pStyle w:val="ConsPlusNonformat"/>
        <w:numPr>
          <w:ilvl w:val="1"/>
          <w:numId w:val="3"/>
        </w:numPr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Предполагаемая дата вступления в силу нормативного правового акта:</w:t>
      </w:r>
    </w:p>
    <w:p w:rsidR="009D0A91" w:rsidRDefault="00C86328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Август 2024 года.</w:t>
      </w:r>
    </w:p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p w:rsidR="009D0A91" w:rsidRDefault="00C86328">
      <w:pPr>
        <w:pStyle w:val="1"/>
        <w:numPr>
          <w:ilvl w:val="1"/>
          <w:numId w:val="3"/>
        </w:numPr>
      </w:pPr>
      <w:r>
        <w:t xml:space="preserve">Краткое описание проблемы, на решение которой направлен предлагаемый способ регулирования: </w:t>
      </w:r>
    </w:p>
    <w:p w:rsidR="00614DC0" w:rsidRPr="00614DC0" w:rsidRDefault="00614DC0" w:rsidP="00614DC0"/>
    <w:p w:rsidR="009D0A91" w:rsidRDefault="00C86328">
      <w:pPr>
        <w:pStyle w:val="1"/>
        <w:jc w:val="both"/>
      </w:pPr>
      <w:proofErr w:type="gramStart"/>
      <w:r>
        <w:t>Настоящий проект постановления основывается  на принципах, утвержденных  Методическим стандартом размещения объектов, используемых для осуществления предпринимательской деятельности на территории парков Московской области, обеспечения исполнения полномочий</w:t>
      </w:r>
      <w:r>
        <w:t xml:space="preserve"> органов местного самоуправления по благоустройству мест массового отдыха населения или создания условий для массового отдыха населения, учредителем которого является орган местного самоуправления, а также в целях рационального использования земельных учас</w:t>
      </w:r>
      <w:r>
        <w:t>тков в парках и на парковых территориях</w:t>
      </w:r>
      <w:proofErr w:type="gramEnd"/>
      <w:r>
        <w:t xml:space="preserve"> Городского округа Электросталь Московской области.</w:t>
      </w:r>
    </w:p>
    <w:p w:rsidR="00614DC0" w:rsidRPr="00614DC0" w:rsidRDefault="00614DC0" w:rsidP="00614DC0"/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Основание для разработки проекта муниципального нормативного правового акта: 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06.10.2003 № 131-Ф3 «Об общих принципах организации местног</w:t>
      </w:r>
      <w:r>
        <w:rPr>
          <w:rFonts w:ascii="Times New Roman" w:hAnsi="Times New Roman"/>
          <w:sz w:val="24"/>
        </w:rPr>
        <w:t>о самоуправления в Российской Федерации»;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Федеральный закон от 26.07.2006 № 135-ФЗ «О защите конкуренции»; 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28.12.2009 № 381- ФЗ «Об основах государственного регулирования торговой деятельности в Российской Федерации»;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</w:t>
      </w:r>
      <w:r>
        <w:rPr>
          <w:rFonts w:ascii="Times New Roman" w:hAnsi="Times New Roman"/>
          <w:sz w:val="24"/>
        </w:rPr>
        <w:t>й закон</w:t>
      </w:r>
      <w:r>
        <w:rPr>
          <w:rFonts w:ascii="Times New Roman" w:hAnsi="Times New Roman"/>
          <w:sz w:val="24"/>
        </w:rPr>
        <w:t xml:space="preserve"> от 05.04.2013 № 44-Ф3 «О контрактной системе в сфере закупок товаров, работ, услуг для обеспечения государственных и муниципальных нужд»; 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Федеральный закон от 18.07.2011 № 223-Ф3 «</w:t>
      </w:r>
      <w:r>
        <w:rPr>
          <w:rFonts w:ascii="Times New Roman" w:hAnsi="Times New Roman"/>
          <w:sz w:val="24"/>
        </w:rPr>
        <w:t>О закупках товаров, работ и услуг отдельными видами юридических лиц»</w:t>
      </w:r>
      <w:r>
        <w:rPr>
          <w:rFonts w:ascii="Times New Roman" w:hAnsi="Times New Roman"/>
          <w:sz w:val="24"/>
        </w:rPr>
        <w:t xml:space="preserve">; 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Распоряжение Министерства сельского хозяйства и продовольствия Московской области от 13.10.2020 № 20PB-306 «О разработке и утверждении органами местного самоуправления муниципальных </w:t>
      </w:r>
      <w:proofErr w:type="gramStart"/>
      <w:r>
        <w:rPr>
          <w:rFonts w:ascii="Times New Roman" w:hAnsi="Times New Roman"/>
          <w:sz w:val="24"/>
        </w:rPr>
        <w:t>образований Московской области схем размещения нестационарных тор</w:t>
      </w:r>
      <w:r>
        <w:rPr>
          <w:rFonts w:ascii="Times New Roman" w:hAnsi="Times New Roman"/>
          <w:sz w:val="24"/>
        </w:rPr>
        <w:t>говых объектов</w:t>
      </w:r>
      <w:proofErr w:type="gramEnd"/>
      <w:r>
        <w:rPr>
          <w:rFonts w:ascii="Times New Roman" w:hAnsi="Times New Roman"/>
          <w:sz w:val="24"/>
        </w:rPr>
        <w:t xml:space="preserve"> и Методических рекомендаций по размещению нестационарных торговых объектов на территории муниципальных образований Московской области»; 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Распоряжение Министерства инвестиций, промышленности и науки Московской области от 21.11.2023 № 33-н «</w:t>
      </w:r>
      <w:r>
        <w:rPr>
          <w:rFonts w:ascii="Times New Roman" w:hAnsi="Times New Roman"/>
          <w:sz w:val="24"/>
        </w:rPr>
        <w:t xml:space="preserve">Об утверждении Методического стандарта размещения объектов, используемых для осуществления предпринимательской деятельности на территории парков Московской области»; 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Постановление Правительства Московской области от 23.12.2013 № 1098/55 «Об утверждении </w:t>
      </w:r>
      <w:r>
        <w:rPr>
          <w:rFonts w:ascii="Times New Roman" w:hAnsi="Times New Roman"/>
          <w:sz w:val="24"/>
        </w:rPr>
        <w:t>«Указания. Региональный парковый стандарт».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Краткое описание целей предлагаемого регулирования: формирование благоприятного инвестиционного климата на территориях парков культуры и отдыха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9D0A91" w:rsidRDefault="00C86328">
      <w:pPr>
        <w:pStyle w:val="ConsPlusNonformat"/>
        <w:tabs>
          <w:tab w:val="left" w:pos="142"/>
        </w:tabs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парках и на парковых территориях Городского округа Электрост</w:t>
      </w:r>
      <w:r>
        <w:rPr>
          <w:rFonts w:ascii="Times New Roman" w:hAnsi="Times New Roman"/>
          <w:sz w:val="24"/>
        </w:rPr>
        <w:t>аль Московской области, используемых для организации отдыха граждан, стимулирования и поддержки инвестиционной деятельности на территории парков, связанной с оказанием услуг, способствующих оптимальному использованию природных условий в интересах укреплени</w:t>
      </w:r>
      <w:r>
        <w:rPr>
          <w:rFonts w:ascii="Times New Roman" w:hAnsi="Times New Roman"/>
          <w:sz w:val="24"/>
        </w:rPr>
        <w:t>я здоровья, культурного развития и организации досуга населения на отрытом воздухе и увеличения времени посещения парка, реализация полномочий органа местного самоуправления по определению порядка организации и</w:t>
      </w:r>
      <w:proofErr w:type="gramEnd"/>
      <w:r>
        <w:rPr>
          <w:rFonts w:ascii="Times New Roman" w:hAnsi="Times New Roman"/>
          <w:sz w:val="24"/>
        </w:rPr>
        <w:t xml:space="preserve"> проведения открытого аукциона в электронной ф</w:t>
      </w:r>
      <w:r>
        <w:rPr>
          <w:rFonts w:ascii="Times New Roman" w:hAnsi="Times New Roman"/>
          <w:sz w:val="24"/>
        </w:rPr>
        <w:t>орме на право размещения объекта бизнеса в парках и на парковых территориях Городского округа Электросталь Московской области.</w:t>
      </w:r>
    </w:p>
    <w:p w:rsidR="009D0A91" w:rsidRDefault="009D0A91">
      <w:pPr>
        <w:pStyle w:val="ConsPlusNonformat"/>
        <w:tabs>
          <w:tab w:val="left" w:pos="142"/>
        </w:tabs>
        <w:jc w:val="both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Краткое описание предлагаемого способа регулирования: предоставление равных условий для участников открытого аукциона на пр</w:t>
      </w:r>
      <w:r>
        <w:rPr>
          <w:rFonts w:ascii="Times New Roman" w:hAnsi="Times New Roman"/>
          <w:sz w:val="24"/>
        </w:rPr>
        <w:t>аво размещения нестационарных торговых объектов в парках и на парковых территориях Городского округа Электросталь Московской области.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1.8. Контактная информация исполнителя в органе-разработчике: </w:t>
      </w:r>
    </w:p>
    <w:p w:rsidR="00614DC0" w:rsidRDefault="00614DC0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Ф.И.О.: Епифанова Ирина Игоревна 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Должность: директор МКУ «</w:t>
      </w:r>
      <w:r>
        <w:rPr>
          <w:rFonts w:ascii="Times New Roman" w:hAnsi="Times New Roman"/>
          <w:sz w:val="24"/>
        </w:rPr>
        <w:t>Департамент по развитию промышленности, инвестиционной политике и рекламе»</w:t>
      </w:r>
      <w:r>
        <w:rPr>
          <w:rFonts w:ascii="Times New Roman" w:hAnsi="Times New Roman"/>
          <w:sz w:val="24"/>
        </w:rPr>
        <w:t>.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Тел.: 8(496)574-21-27.  Адрес электронной почты: </w:t>
      </w:r>
      <w:hyperlink r:id="rId6" w:history="1">
        <w:r>
          <w:rPr>
            <w:rStyle w:val="af1"/>
            <w:rFonts w:ascii="Times New Roman" w:hAnsi="Times New Roman"/>
            <w:sz w:val="24"/>
          </w:rPr>
          <w:t>depinvestprom@mail.ru</w:t>
        </w:r>
      </w:hyperlink>
      <w:r>
        <w:rPr>
          <w:rFonts w:ascii="Times New Roman" w:hAnsi="Times New Roman"/>
          <w:sz w:val="24"/>
        </w:rPr>
        <w:t xml:space="preserve"> .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Pr="00614DC0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614DC0">
        <w:rPr>
          <w:rFonts w:ascii="Times New Roman" w:hAnsi="Times New Roman"/>
          <w:b/>
          <w:sz w:val="24"/>
        </w:rPr>
        <w:t>2. Степень регулирующего воздействия проекта муниципального нор</w:t>
      </w:r>
      <w:r w:rsidRPr="00614DC0">
        <w:rPr>
          <w:rFonts w:ascii="Times New Roman" w:hAnsi="Times New Roman"/>
          <w:b/>
          <w:sz w:val="24"/>
        </w:rPr>
        <w:t>мативного правового акта Городского окру</w:t>
      </w:r>
      <w:bookmarkStart w:id="1" w:name="_GoBack"/>
      <w:bookmarkEnd w:id="1"/>
      <w:r w:rsidRPr="00614DC0">
        <w:rPr>
          <w:rFonts w:ascii="Times New Roman" w:hAnsi="Times New Roman"/>
          <w:b/>
          <w:sz w:val="24"/>
        </w:rPr>
        <w:t>га Электросталь Московской области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p w:rsidR="009D0A91" w:rsidRDefault="00C86328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Степень регулирующего воздействия проекта муниципального нормативного правового акта: средняя.</w:t>
      </w:r>
    </w:p>
    <w:p w:rsidR="009D0A91" w:rsidRPr="00CF6E3B" w:rsidRDefault="00C86328" w:rsidP="00C86328">
      <w:pPr>
        <w:ind w:firstLine="567"/>
        <w:jc w:val="both"/>
      </w:pPr>
      <w:r>
        <w:t xml:space="preserve">2.2. </w:t>
      </w:r>
      <w:proofErr w:type="gramStart"/>
      <w:r>
        <w:t>Обоснование отнесения проекта муниципального нормативного правового акта к определенной степени регулирующего воздействия: проект постановления затрагивает вопросы размещения нестационарных торговых объектов в парках и на парковых территориях Городско</w:t>
      </w:r>
      <w:r>
        <w:t>го округа Электросталь Московской области на основании схем</w:t>
      </w:r>
      <w:r w:rsidR="00CF6E3B">
        <w:t>ы</w:t>
      </w:r>
      <w:r>
        <w:t xml:space="preserve"> размещения объектов бизнеса </w:t>
      </w:r>
      <w:r w:rsidRPr="00614DC0">
        <w:t>на парковых территориях, входящих в с</w:t>
      </w:r>
      <w:r w:rsidR="00614DC0" w:rsidRPr="00614DC0">
        <w:t xml:space="preserve">остав МБУ «Парки Электростали», </w:t>
      </w:r>
      <w:r w:rsidR="00614DC0" w:rsidRPr="00CF6E3B">
        <w:t>у</w:t>
      </w:r>
      <w:r w:rsidR="00CF6E3B">
        <w:t>твержденной приказом МБУ «Парки Электростали» от 10.07.2024 №11-ОД «Об утверждении схемы объектов бизнеса на</w:t>
      </w:r>
      <w:proofErr w:type="gramEnd"/>
      <w:r w:rsidR="00CF6E3B">
        <w:t xml:space="preserve"> территории лесопарка «Авангард» городского округа Электросталь Московской области.</w:t>
      </w:r>
    </w:p>
    <w:p w:rsidR="009D0A91" w:rsidRDefault="009D0A91" w:rsidP="00CF6E3B">
      <w:pPr>
        <w:jc w:val="both"/>
      </w:pPr>
    </w:p>
    <w:p w:rsidR="009D0A91" w:rsidRPr="00C86328" w:rsidRDefault="00C86328" w:rsidP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>3. Описание проблемы, на решение которой направлен предлагаемый с</w:t>
      </w:r>
      <w:r w:rsidRPr="00C86328">
        <w:rPr>
          <w:rFonts w:ascii="Times New Roman" w:hAnsi="Times New Roman"/>
          <w:b/>
          <w:sz w:val="24"/>
        </w:rPr>
        <w:t>пособ регулирования, оценка негативных эффектов, возникающих в связи с наличием рассматриваемой проблемы</w:t>
      </w:r>
    </w:p>
    <w:p w:rsidR="009D0A91" w:rsidRDefault="009D0A91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C86328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Описание проблемы, на решение которой направлен предлагаемый способ регулирования, условий и факторов ее существования: обеспечение равных услови</w:t>
      </w:r>
      <w:r>
        <w:rPr>
          <w:rFonts w:ascii="Times New Roman" w:hAnsi="Times New Roman"/>
          <w:sz w:val="24"/>
        </w:rPr>
        <w:t xml:space="preserve">й для участников открытого аукциона на право размещения нестационарных торговых объектов в парках и на парковых территориях Городского округа Электросталь Московской </w:t>
      </w:r>
      <w:r>
        <w:rPr>
          <w:rFonts w:ascii="Times New Roman" w:hAnsi="Times New Roman"/>
          <w:sz w:val="24"/>
        </w:rPr>
        <w:lastRenderedPageBreak/>
        <w:t>области, обеспечение равных возможностей для реализации прав субъектов малого и среднего п</w:t>
      </w:r>
      <w:r>
        <w:rPr>
          <w:rFonts w:ascii="Times New Roman" w:hAnsi="Times New Roman"/>
          <w:sz w:val="24"/>
        </w:rPr>
        <w:t>редпринимательства на осуществление предпринимательской деятельности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рациональное использование земельных участков на территории Городского округа Электросталь Московской области.</w:t>
      </w:r>
    </w:p>
    <w:p w:rsidR="009D0A91" w:rsidRDefault="009D0A91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C86328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Негативные эффекты, возникающие в связи с наличием проблемы: отсутст</w:t>
      </w:r>
      <w:r>
        <w:rPr>
          <w:rFonts w:ascii="Times New Roman" w:hAnsi="Times New Roman"/>
          <w:sz w:val="24"/>
        </w:rPr>
        <w:t xml:space="preserve">вуют. </w:t>
      </w:r>
    </w:p>
    <w:p w:rsidR="009D0A91" w:rsidRDefault="009D0A91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C86328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риски неблагоприятных последствий отсутствуют.</w:t>
      </w:r>
    </w:p>
    <w:p w:rsidR="009D0A91" w:rsidRDefault="009D0A91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C86328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Описание условий, при кот</w:t>
      </w:r>
      <w:r>
        <w:rPr>
          <w:rFonts w:ascii="Times New Roman" w:hAnsi="Times New Roman"/>
          <w:sz w:val="24"/>
        </w:rPr>
        <w:t xml:space="preserve">орых проблема может быть решена в целом </w:t>
      </w:r>
      <w:proofErr w:type="gramStart"/>
      <w:r>
        <w:rPr>
          <w:rFonts w:ascii="Times New Roman" w:hAnsi="Times New Roman"/>
          <w:sz w:val="24"/>
        </w:rPr>
        <w:t>без</w:t>
      </w:r>
      <w:proofErr w:type="gramEnd"/>
    </w:p>
    <w:p w:rsidR="009D0A91" w:rsidRDefault="00C86328" w:rsidP="00CF6E3B">
      <w:pPr>
        <w:pStyle w:val="ConsPlusNonformat"/>
        <w:tabs>
          <w:tab w:val="left" w:pos="14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вмешательства со стороны государства: данный способ регулирования является единственно верным решением для достижения заявленных целей, так как проблема не может быть решена без участия Администрации Городского о</w:t>
      </w:r>
      <w:r>
        <w:rPr>
          <w:rFonts w:ascii="Times New Roman" w:hAnsi="Times New Roman"/>
          <w:sz w:val="24"/>
        </w:rPr>
        <w:t>круга Электросталь Московской области.</w:t>
      </w:r>
    </w:p>
    <w:p w:rsidR="009D0A91" w:rsidRDefault="009D0A91" w:rsidP="00CF6E3B">
      <w:pPr>
        <w:pStyle w:val="ConsPlusNonformat"/>
        <w:tabs>
          <w:tab w:val="left" w:pos="142"/>
        </w:tabs>
        <w:jc w:val="both"/>
        <w:rPr>
          <w:rFonts w:ascii="Times New Roman" w:hAnsi="Times New Roman"/>
          <w:sz w:val="24"/>
        </w:rPr>
      </w:pPr>
    </w:p>
    <w:p w:rsidR="009D0A91" w:rsidRDefault="00C86328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Источники данных: Правительство Российской Федерации, Правительство Московской области, Министерство сельского хозяйства и продовольствия Московской области, Министерства инвестиций, промышленности и науки Моско</w:t>
      </w:r>
      <w:r>
        <w:rPr>
          <w:rFonts w:ascii="Times New Roman" w:hAnsi="Times New Roman"/>
          <w:sz w:val="24"/>
        </w:rPr>
        <w:t>вской области, информационная база «Консультант Плюс».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 Иная информация о проблеме: нет 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Pr="00CF6E3B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F6E3B">
        <w:rPr>
          <w:rFonts w:ascii="Times New Roman" w:hAnsi="Times New Roman"/>
          <w:b/>
          <w:sz w:val="24"/>
        </w:rPr>
        <w:t>4. 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</w:t>
      </w:r>
      <w:r w:rsidRPr="00CF6E3B">
        <w:rPr>
          <w:rFonts w:ascii="Times New Roman" w:hAnsi="Times New Roman"/>
          <w:b/>
          <w:sz w:val="24"/>
        </w:rPr>
        <w:t>ссийской Федерации, Губернатора Московской области и Правительства Московской области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9D0A91">
        <w:tc>
          <w:tcPr>
            <w:tcW w:w="4644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Цели предлагаемого регулирования</w:t>
            </w:r>
          </w:p>
        </w:tc>
        <w:tc>
          <w:tcPr>
            <w:tcW w:w="4536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Установленные сроки достижения целей предлагаемого регулирования: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D0A91">
        <w:tc>
          <w:tcPr>
            <w:tcW w:w="4644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Предоставления равных условий для участников открытого </w:t>
            </w:r>
            <w:r>
              <w:rPr>
                <w:rFonts w:ascii="Times New Roman" w:hAnsi="Times New Roman"/>
                <w:sz w:val="24"/>
              </w:rPr>
              <w:t>аукциона на право размещения нестационарных торговых объектов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6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момента подписания</w:t>
            </w:r>
          </w:p>
        </w:tc>
      </w:tr>
      <w:tr w:rsidR="009D0A91">
        <w:tc>
          <w:tcPr>
            <w:tcW w:w="4644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равных возможностей для реализации прав субъектов малого и среднего предпринимательства на осуществление предпринимательской деятельности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момента подписания</w:t>
            </w:r>
          </w:p>
        </w:tc>
      </w:tr>
      <w:tr w:rsidR="009D0A91">
        <w:tc>
          <w:tcPr>
            <w:tcW w:w="4644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Рациональное использование земельных участков на территории Городского округа Электросталь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момента подписания</w:t>
            </w:r>
          </w:p>
        </w:tc>
      </w:tr>
      <w:tr w:rsidR="009D0A91">
        <w:tc>
          <w:tcPr>
            <w:tcW w:w="4644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бизнеса в парках и на парковых территориях Городского округа Электросталь 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момента подписания</w:t>
            </w:r>
          </w:p>
        </w:tc>
      </w:tr>
    </w:tbl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4.3. </w:t>
      </w:r>
      <w:proofErr w:type="gramStart"/>
      <w:r>
        <w:rPr>
          <w:rFonts w:ascii="Times New Roman" w:hAnsi="Times New Roman"/>
          <w:sz w:val="24"/>
        </w:rPr>
        <w:t xml:space="preserve">Обоснование соответствия </w:t>
      </w:r>
      <w:r>
        <w:rPr>
          <w:rFonts w:ascii="Times New Roman" w:hAnsi="Times New Roman"/>
          <w:sz w:val="24"/>
        </w:rPr>
        <w:t>целей предлагаемого регулирования основывается на принципах правового регулирования, программным документам Президента Российской Федерации, Правительства Российской Федерации, Губернатора Московской области и Правительства Московской области: проект поста</w:t>
      </w:r>
      <w:r>
        <w:rPr>
          <w:rFonts w:ascii="Times New Roman" w:hAnsi="Times New Roman"/>
          <w:sz w:val="24"/>
        </w:rPr>
        <w:t>новления не противоречит Конституции Российской Федерации, Федеральному закону от 06.10.2003 № 131-Ф3 «Об общих принципах организации местного самоуправления в Российской Федерации», Федеральному закону от 26.07.2006 № 135-ФЗ «О защите конкуренции», Федера</w:t>
      </w:r>
      <w:r>
        <w:rPr>
          <w:rFonts w:ascii="Times New Roman" w:hAnsi="Times New Roman"/>
          <w:sz w:val="24"/>
        </w:rPr>
        <w:t>льному закону от 28.12.2009 № 381-Ф3 «Об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основах государственного регулирования торговой деятельности в Российской Федерации», Федеральному закону от 05.04.2013 № 44-ФЗ «О контрактной системе в сфере закупок товаров, работ, услуг для обеспечения государств</w:t>
      </w:r>
      <w:r>
        <w:rPr>
          <w:rFonts w:ascii="Times New Roman" w:hAnsi="Times New Roman"/>
          <w:sz w:val="24"/>
        </w:rPr>
        <w:t>енных и муниципальных нужд»;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Федеральному</w:t>
      </w:r>
      <w:r w:rsidR="00CF6E3B">
        <w:rPr>
          <w:rFonts w:ascii="Times New Roman" w:hAnsi="Times New Roman"/>
          <w:sz w:val="24"/>
        </w:rPr>
        <w:t xml:space="preserve"> закону от 18.07.2011 № 223-Ф3 «</w:t>
      </w:r>
      <w:r>
        <w:rPr>
          <w:rFonts w:ascii="Times New Roman" w:hAnsi="Times New Roman"/>
          <w:sz w:val="24"/>
        </w:rPr>
        <w:t>О закупках товаров, работ и услуг от</w:t>
      </w:r>
      <w:r w:rsidR="00CF6E3B">
        <w:rPr>
          <w:rFonts w:ascii="Times New Roman" w:hAnsi="Times New Roman"/>
          <w:sz w:val="24"/>
        </w:rPr>
        <w:t>дельными видами юридических лиц»</w:t>
      </w:r>
      <w:r>
        <w:rPr>
          <w:rFonts w:ascii="Times New Roman" w:hAnsi="Times New Roman"/>
          <w:sz w:val="24"/>
        </w:rPr>
        <w:t xml:space="preserve"> Распоряжению Министерства сельского хозяйства и продовольствия Московской области от 13.10.2020 № 20PB-306 «О раз</w:t>
      </w:r>
      <w:r>
        <w:rPr>
          <w:rFonts w:ascii="Times New Roman" w:hAnsi="Times New Roman"/>
          <w:sz w:val="24"/>
        </w:rPr>
        <w:t>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</w:t>
      </w:r>
      <w:r>
        <w:rPr>
          <w:rFonts w:ascii="Times New Roman" w:hAnsi="Times New Roman"/>
          <w:sz w:val="24"/>
        </w:rPr>
        <w:t>зований Московской области»;</w:t>
      </w:r>
      <w:proofErr w:type="gramEnd"/>
      <w:r>
        <w:rPr>
          <w:rFonts w:ascii="Times New Roman" w:hAnsi="Times New Roman"/>
          <w:sz w:val="24"/>
        </w:rPr>
        <w:t xml:space="preserve"> Распоряжению Министерства инвестиций, промышленности и</w:t>
      </w:r>
      <w:r w:rsidR="00CF6E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науки Московской области от 21.11.2023 № 3-н «Об утверждении Методического стандарта размещения объектов, используемых для осуществления предпринимательской деятельности на </w:t>
      </w:r>
      <w:r>
        <w:rPr>
          <w:rFonts w:ascii="Times New Roman" w:hAnsi="Times New Roman"/>
          <w:sz w:val="24"/>
        </w:rPr>
        <w:t>территории парков Московской области»; Постановлению Правительства Московской области от 23.12.2013 № 1098/55 «Об утверждении «Указания. Региональный парковый стандарт», иным нормативным правовым актам Российской Федерации и законодательству Московской обл</w:t>
      </w:r>
      <w:r>
        <w:rPr>
          <w:rFonts w:ascii="Times New Roman" w:hAnsi="Times New Roman"/>
          <w:sz w:val="24"/>
        </w:rPr>
        <w:t>асти.</w:t>
      </w:r>
    </w:p>
    <w:p w:rsidR="009D0A91" w:rsidRDefault="009D0A91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/>
          <w:sz w:val="24"/>
        </w:rPr>
      </w:pPr>
    </w:p>
    <w:p w:rsidR="009D0A91" w:rsidRPr="00CF6E3B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F6E3B">
        <w:rPr>
          <w:rFonts w:ascii="Times New Roman" w:hAnsi="Times New Roman"/>
          <w:b/>
          <w:sz w:val="24"/>
        </w:rPr>
        <w:t>5. Описание предлагаемого регулирования и иных возможных способов решения проблемы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p w:rsidR="009D0A91" w:rsidRDefault="00C86328" w:rsidP="00CF6E3B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Описание предлагаемого способа решения проблемы и </w:t>
      </w:r>
      <w:proofErr w:type="gramStart"/>
      <w:r>
        <w:rPr>
          <w:rFonts w:ascii="Times New Roman" w:hAnsi="Times New Roman"/>
          <w:sz w:val="24"/>
        </w:rPr>
        <w:t>преодоления</w:t>
      </w:r>
      <w:proofErr w:type="gramEnd"/>
      <w:r>
        <w:rPr>
          <w:rFonts w:ascii="Times New Roman" w:hAnsi="Times New Roman"/>
          <w:sz w:val="24"/>
        </w:rPr>
        <w:t xml:space="preserve"> связанных с ней негативных эффектов: проект Постановления разработан в соответствии с Методическим</w:t>
      </w:r>
      <w:r>
        <w:rPr>
          <w:rFonts w:ascii="Times New Roman" w:hAnsi="Times New Roman"/>
          <w:sz w:val="24"/>
        </w:rPr>
        <w:t xml:space="preserve"> стандартом размещения объектов, используемых для осуществления предпринимательской деятельности на территории парков Московской области, для обеспечения исполнения полномочий органов местного самоуправления по благоустройству мест массового отдыха населен</w:t>
      </w:r>
      <w:r>
        <w:rPr>
          <w:rFonts w:ascii="Times New Roman" w:hAnsi="Times New Roman"/>
          <w:sz w:val="24"/>
        </w:rPr>
        <w:t>ия или создания условий для массового отдыха населения, учредителем которого является орган местного самоуправления, а также в целях рационального использования земельных участков в парках и на парковых территориях Городского округа Электросталь Московской</w:t>
      </w:r>
      <w:r>
        <w:rPr>
          <w:rFonts w:ascii="Times New Roman" w:hAnsi="Times New Roman"/>
          <w:sz w:val="24"/>
        </w:rPr>
        <w:t xml:space="preserve"> области.</w:t>
      </w:r>
    </w:p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Описание иных способов решения проблемы (с указанием того, каким образом каждым из способов могла бы быть решена проблема): отсутствуют.</w:t>
      </w:r>
    </w:p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Обоснование выбора предлагаемого способа решения проблемы: данный способ решения единственно </w:t>
      </w:r>
      <w:r>
        <w:rPr>
          <w:rFonts w:ascii="Times New Roman" w:hAnsi="Times New Roman"/>
          <w:sz w:val="24"/>
        </w:rPr>
        <w:t>верный, так как проблема не может быть решена без участия Администрации Городского округа Электросталь Московской области. Проведение электронного аукциона в электронной форме на право размещения объекта бизнеса в парках и на парковых территориях Городског</w:t>
      </w:r>
      <w:r>
        <w:rPr>
          <w:rFonts w:ascii="Times New Roman" w:hAnsi="Times New Roman"/>
          <w:sz w:val="24"/>
        </w:rPr>
        <w:t>о округа Электросталь Московской области возложены на муниципальное бюджетное учреждение культуры «Парки Электростали».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>6. Основные группы субъектов предпринимательской и иной экономической деятельности, иные заинтересованные лица, включая органы местного</w:t>
      </w:r>
      <w:r w:rsidRPr="00C86328">
        <w:rPr>
          <w:rFonts w:ascii="Times New Roman" w:hAnsi="Times New Roman"/>
          <w:b/>
          <w:sz w:val="24"/>
        </w:rPr>
        <w:t xml:space="preserve"> самоуправления Городского округа Электросталь Московской области, интересы которых будут затронуты предлагаемым правовым регулированием, оценка количества таких субъектов</w:t>
      </w:r>
    </w:p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D0A91">
        <w:tc>
          <w:tcPr>
            <w:tcW w:w="4785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Группы участников отношений:</w:t>
            </w:r>
          </w:p>
        </w:tc>
        <w:tc>
          <w:tcPr>
            <w:tcW w:w="4785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 Оценка количества участников отношений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4785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</w:t>
            </w:r>
            <w:r>
              <w:rPr>
                <w:rFonts w:ascii="Times New Roman" w:hAnsi="Times New Roman"/>
                <w:sz w:val="24"/>
              </w:rPr>
              <w:t xml:space="preserve">ические лица, физические лица, </w:t>
            </w:r>
            <w:proofErr w:type="gramStart"/>
            <w:r>
              <w:rPr>
                <w:rFonts w:ascii="Times New Roman" w:hAnsi="Times New Roman"/>
                <w:sz w:val="24"/>
              </w:rPr>
              <w:t>применяющее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специальный налоговый режим «Налог на профессиональный доход», юридические лица, индивидуальные предприниматели.</w:t>
            </w:r>
          </w:p>
        </w:tc>
        <w:tc>
          <w:tcPr>
            <w:tcW w:w="4785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установлено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9D0A91" w:rsidRDefault="00C86328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Источники данных: МБУ «Парки Электростали».</w:t>
      </w:r>
    </w:p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 xml:space="preserve">7. Новые функции, полномочия, </w:t>
      </w:r>
      <w:r w:rsidRPr="00C86328">
        <w:rPr>
          <w:rFonts w:ascii="Times New Roman" w:hAnsi="Times New Roman"/>
          <w:b/>
          <w:sz w:val="24"/>
        </w:rPr>
        <w:t>обязанности и права органов</w:t>
      </w: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>местного самоуправления Городского округа Электросталь или сведения об их изменении, а также порядок их реализации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0A91"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 Описание новых или изменения существующих функций, полномочий, обязанностей или прав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 Порядок реализаци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7.3 Оценка изменения трудозатрат и </w:t>
            </w:r>
            <w:r>
              <w:rPr>
                <w:rFonts w:ascii="Times New Roman" w:hAnsi="Times New Roman"/>
                <w:sz w:val="24"/>
              </w:rPr>
              <w:t>(или) потребностей в иных ресурсах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9570" w:type="dxa"/>
            <w:gridSpan w:val="3"/>
          </w:tcPr>
          <w:p w:rsidR="009D0A91" w:rsidRDefault="009D0A91">
            <w:pPr>
              <w:pStyle w:val="ConsPlusNonformat"/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sz w:val="24"/>
              </w:rPr>
            </w:pPr>
          </w:p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органа: Городской округ Электросталь Московской области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rPr>
          <w:trHeight w:val="848"/>
        </w:trPr>
        <w:tc>
          <w:tcPr>
            <w:tcW w:w="9570" w:type="dxa"/>
            <w:gridSpan w:val="3"/>
          </w:tcPr>
          <w:p w:rsidR="009D0A91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Изменение функций (полномочий, обязанностей, прав) структурных подразделений Администрации Городского округа Электросталь Московской области: полномочия по утверждению Положения о проведении открытого электронного аукциона в электронной форме на право разм</w:t>
            </w:r>
            <w:r>
              <w:rPr>
                <w:rFonts w:ascii="Times New Roman" w:hAnsi="Times New Roman"/>
                <w:sz w:val="24"/>
              </w:rPr>
              <w:t>ещения объекта бизнеса в парках и на парковых территориях Городского округа Электросталь Московской области и согласованию схем объектов бизнеса возложены на МКУ «</w:t>
            </w:r>
            <w:r w:rsidRPr="00C86328">
              <w:rPr>
                <w:rFonts w:ascii="Times New Roman" w:hAnsi="Times New Roman"/>
                <w:sz w:val="24"/>
              </w:rPr>
              <w:t>Департамент по развитию промышленности, ин</w:t>
            </w:r>
            <w:r>
              <w:rPr>
                <w:rFonts w:ascii="Times New Roman" w:hAnsi="Times New Roman"/>
                <w:sz w:val="24"/>
              </w:rPr>
              <w:t>вестиционной политике и рекламе»</w:t>
            </w:r>
            <w:r w:rsidRPr="00C86328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проведение электр</w:t>
            </w:r>
            <w:r>
              <w:rPr>
                <w:rFonts w:ascii="Times New Roman" w:hAnsi="Times New Roman"/>
                <w:sz w:val="24"/>
              </w:rPr>
              <w:t>онного аукциона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электронной форме на право размещения объекта бизнеса в парках и на парковых территориях Городского округа Электросталь Московской области возложены на МБУ «Парки Электростали».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>8.Оценка соответствующих расходов (возможных поступлений)</w:t>
      </w:r>
      <w:r w:rsidRPr="00C86328">
        <w:rPr>
          <w:rFonts w:ascii="Times New Roman" w:hAnsi="Times New Roman"/>
          <w:b/>
          <w:sz w:val="24"/>
        </w:rPr>
        <w:t xml:space="preserve"> бюджета Городского округа Электросталь Московской области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0A91"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 Наименование новой или изменяемой функции, полномочия, обязанности или права</w:t>
            </w: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 Описание видов изменяемой функции, расходов (возможных полномочия, обязанности или поступлений) бюджета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</w:t>
            </w:r>
            <w:r>
              <w:rPr>
                <w:rFonts w:ascii="Times New Roman" w:hAnsi="Times New Roman"/>
                <w:sz w:val="24"/>
              </w:rPr>
              <w:t xml:space="preserve"> Городского округа Электросталь Московской области</w:t>
            </w: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 Количественная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 (возможных поступлений)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9570" w:type="dxa"/>
            <w:gridSpan w:val="3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 Наименование органа: Городской округ Электросталь Московской области</w:t>
            </w:r>
          </w:p>
        </w:tc>
      </w:tr>
      <w:tr w:rsidR="009D0A91">
        <w:trPr>
          <w:trHeight w:val="915"/>
        </w:trPr>
        <w:tc>
          <w:tcPr>
            <w:tcW w:w="3190" w:type="dxa"/>
            <w:vMerge w:val="restart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8.4.1.Городской округ Электросталь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8.4.2. Единовременные расходы </w:t>
            </w:r>
            <w:r>
              <w:rPr>
                <w:rFonts w:ascii="Times New Roman" w:hAnsi="Times New Roman"/>
                <w:sz w:val="24"/>
              </w:rPr>
              <w:t>в2024г. (год возникновения)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vMerge w:val="restart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D0A91">
        <w:trPr>
          <w:trHeight w:val="585"/>
        </w:trPr>
        <w:tc>
          <w:tcPr>
            <w:tcW w:w="3190" w:type="dxa"/>
            <w:vMerge/>
          </w:tcPr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8.4.3. Периодические расходы за период</w:t>
            </w:r>
          </w:p>
        </w:tc>
        <w:tc>
          <w:tcPr>
            <w:tcW w:w="3190" w:type="dxa"/>
            <w:vMerge/>
          </w:tcPr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rPr>
          <w:trHeight w:val="228"/>
        </w:trPr>
        <w:tc>
          <w:tcPr>
            <w:tcW w:w="3190" w:type="dxa"/>
            <w:vMerge/>
          </w:tcPr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8.4.4. Возможные - поступления за период</w:t>
            </w:r>
          </w:p>
        </w:tc>
        <w:tc>
          <w:tcPr>
            <w:tcW w:w="3190" w:type="dxa"/>
            <w:vMerge/>
          </w:tcPr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8.5. Итого единовременные расходы: -</w:t>
            </w:r>
          </w:p>
        </w:tc>
        <w:tc>
          <w:tcPr>
            <w:tcW w:w="3190" w:type="dxa"/>
          </w:tcPr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6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8.6. Итого периодические расходы за год: -</w:t>
            </w:r>
          </w:p>
        </w:tc>
        <w:tc>
          <w:tcPr>
            <w:tcW w:w="3190" w:type="dxa"/>
          </w:tcPr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6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8.7. Итого возможные поступления за год: отсутствуют.</w:t>
            </w:r>
          </w:p>
        </w:tc>
        <w:tc>
          <w:tcPr>
            <w:tcW w:w="3190" w:type="dxa"/>
          </w:tcPr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8.8. Иные сведения о расходах (возможных поступлениях) бюджета Городского округа Электросталь Московской области: отсутствуют</w:t>
            </w:r>
          </w:p>
        </w:tc>
      </w:tr>
    </w:tbl>
    <w:p w:rsidR="009D0A91" w:rsidRDefault="00C86328">
      <w:pPr>
        <w:pStyle w:val="ConsPlusNonformat"/>
        <w:tabs>
          <w:tab w:val="left" w:pos="142"/>
        </w:tabs>
        <w:rPr>
          <w:rFonts w:ascii="Times New Roman" w:hAnsi="Times New Roman"/>
          <w:sz w:val="24"/>
        </w:rPr>
      </w:pPr>
      <w:r>
        <w:rPr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>8.9. Источники данных: данные МБУ «Парки Электростали».</w:t>
      </w:r>
    </w:p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Новые обязанности или ограничения для субъектов </w:t>
      </w:r>
      <w:r>
        <w:rPr>
          <w:rFonts w:ascii="Times New Roman" w:hAnsi="Times New Roman"/>
          <w:sz w:val="24"/>
        </w:rPr>
        <w:t>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0A91"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 Группа участников отношений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9.2. Описание новых или изменения содержания существующих </w:t>
            </w:r>
            <w:r>
              <w:rPr>
                <w:rFonts w:ascii="Times New Roman" w:hAnsi="Times New Roman"/>
                <w:sz w:val="24"/>
              </w:rPr>
              <w:t>обязанностей и ограничений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 Порядок организации исполнения обязанностей и ограничений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Любое юридическое лицо независимо от организационно-правовой формы, формы собственности, места нахождения, а также места происхождения капитала, любой </w:t>
            </w:r>
            <w:r>
              <w:rPr>
                <w:rFonts w:ascii="Times New Roman" w:hAnsi="Times New Roman"/>
                <w:sz w:val="24"/>
              </w:rPr>
              <w:t>индивидуальный предприниматель, любое физическое лицо, не являющееся индивидуальным предпринимателем и применяющее специальный налоговый режим «Налог на профессиональный доход», любое физическое лицо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Новых обязанностей и ограничений не вводится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 xml:space="preserve">10. </w:t>
      </w:r>
      <w:r w:rsidRPr="00C86328">
        <w:rPr>
          <w:rFonts w:ascii="Times New Roman" w:hAnsi="Times New Roman"/>
          <w:b/>
          <w:sz w:val="24"/>
        </w:rPr>
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D0A91"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10.1. Группа участников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10.2. Оп</w:t>
            </w:r>
            <w:r>
              <w:rPr>
                <w:rFonts w:ascii="Times New Roman" w:hAnsi="Times New Roman"/>
                <w:sz w:val="24"/>
              </w:rPr>
              <w:t>исание новых или отношений изменения содержания существующих обязанностей и ограничений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10.3. Описание и оценка видов расходов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лица,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лица,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применяющее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специальный налоговый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режим «Налог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профессиональный доход»,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юридические лица,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предприниматели.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Данные отсутствуют</w:t>
            </w:r>
          </w:p>
        </w:tc>
        <w:tc>
          <w:tcPr>
            <w:tcW w:w="319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Расходы: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внесение задатка на участие в Аукционе, связанные с подготовкой и </w:t>
            </w:r>
            <w:r>
              <w:rPr>
                <w:rFonts w:ascii="Times New Roman" w:hAnsi="Times New Roman"/>
                <w:sz w:val="24"/>
              </w:rPr>
              <w:lastRenderedPageBreak/>
              <w:t>подачей своей заявки</w:t>
            </w:r>
          </w:p>
        </w:tc>
      </w:tr>
      <w:tr w:rsidR="009D0A91">
        <w:tc>
          <w:tcPr>
            <w:tcW w:w="9570" w:type="dxa"/>
            <w:gridSpan w:val="3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10.4. Источники данных: -</w:t>
            </w:r>
          </w:p>
        </w:tc>
      </w:tr>
    </w:tbl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 xml:space="preserve">11. Риски решения проблемы предложенным способом регулирования ириски </w:t>
      </w:r>
      <w:r w:rsidRPr="00C86328">
        <w:rPr>
          <w:rFonts w:ascii="Times New Roman" w:hAnsi="Times New Roman"/>
          <w:b/>
          <w:sz w:val="24"/>
        </w:rPr>
        <w:t xml:space="preserve">негативных последствий, а также описание </w:t>
      </w:r>
      <w:proofErr w:type="gramStart"/>
      <w:r w:rsidRPr="00C86328">
        <w:rPr>
          <w:rFonts w:ascii="Times New Roman" w:hAnsi="Times New Roman"/>
          <w:b/>
          <w:sz w:val="24"/>
        </w:rPr>
        <w:t>методов контроля эффективности избранного способа достижения целей регулирования</w:t>
      </w:r>
      <w:proofErr w:type="gramEnd"/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664"/>
        <w:gridCol w:w="2958"/>
        <w:gridCol w:w="2393"/>
      </w:tblGrid>
      <w:tr w:rsidR="009D0A91">
        <w:tc>
          <w:tcPr>
            <w:tcW w:w="1555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 Риски решения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4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 Оценки проблемы предложенным вероятности способом ириски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наступления негативных последствий рисков</w:t>
            </w:r>
          </w:p>
        </w:tc>
        <w:tc>
          <w:tcPr>
            <w:tcW w:w="2958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11.3. М</w:t>
            </w:r>
            <w:r>
              <w:rPr>
                <w:rFonts w:ascii="Times New Roman" w:hAnsi="Times New Roman"/>
                <w:sz w:val="24"/>
              </w:rPr>
              <w:t xml:space="preserve">етоды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эффективности избранного способа достижения целей регулирования</w:t>
            </w:r>
            <w:proofErr w:type="gramEnd"/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3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11.4. Степень контроля рисков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1555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4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очень низкая</w:t>
            </w:r>
          </w:p>
        </w:tc>
        <w:tc>
          <w:tcPr>
            <w:tcW w:w="2958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Данное правовое регулирование направлено на соблюдение требований Федерального закона от 26.07.2006 № 135- ФЗ «О </w:t>
            </w:r>
            <w:r>
              <w:rPr>
                <w:rFonts w:ascii="Times New Roman" w:hAnsi="Times New Roman"/>
                <w:sz w:val="24"/>
              </w:rPr>
              <w:t>защите конкуренции», в целях предоставления равных условий для участников открытого аукциона на право размещения нестационарных торговых объектов.</w:t>
            </w:r>
          </w:p>
        </w:tc>
        <w:tc>
          <w:tcPr>
            <w:tcW w:w="2393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D0A91" w:rsidRDefault="00C86328">
      <w:pPr>
        <w:pStyle w:val="ConsPlusNonformat"/>
        <w:tabs>
          <w:tab w:val="left" w:pos="142"/>
        </w:tabs>
        <w:rPr>
          <w:rFonts w:ascii="Times New Roman" w:hAnsi="Times New Roman"/>
          <w:sz w:val="24"/>
        </w:rPr>
      </w:pPr>
      <w:r>
        <w:rPr>
          <w:sz w:val="24"/>
        </w:rPr>
        <w:t xml:space="preserve">  </w:t>
      </w:r>
      <w:r>
        <w:rPr>
          <w:rFonts w:ascii="Times New Roman" w:hAnsi="Times New Roman"/>
          <w:sz w:val="24"/>
        </w:rPr>
        <w:t>11.5. Источники данных: данные МБУ «Парки Электростали»</w:t>
      </w:r>
    </w:p>
    <w:p w:rsidR="009D0A91" w:rsidRDefault="009D0A91">
      <w:pPr>
        <w:pStyle w:val="ConsPlusNonformat"/>
        <w:tabs>
          <w:tab w:val="left" w:pos="142"/>
        </w:tabs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Предполагаемая дата вступления в</w:t>
      </w:r>
      <w:r>
        <w:rPr>
          <w:rFonts w:ascii="Times New Roman" w:hAnsi="Times New Roman"/>
          <w:sz w:val="24"/>
        </w:rPr>
        <w:t xml:space="preserve"> силу проекта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нормативного правового акта Городского округа Электросталь, оценка необходимости установления переходного периода </w:t>
      </w:r>
      <w:proofErr w:type="gramStart"/>
      <w:r>
        <w:rPr>
          <w:rFonts w:ascii="Times New Roman" w:hAnsi="Times New Roman"/>
          <w:sz w:val="24"/>
        </w:rPr>
        <w:t>и(</w:t>
      </w:r>
      <w:proofErr w:type="gramEnd"/>
      <w:r>
        <w:rPr>
          <w:rFonts w:ascii="Times New Roman" w:hAnsi="Times New Roman"/>
          <w:sz w:val="24"/>
        </w:rPr>
        <w:t>или) отсрочки вступления в силу проекта муниципального нормативного правового акта Городского округа Электроста</w:t>
      </w:r>
      <w:r>
        <w:rPr>
          <w:rFonts w:ascii="Times New Roman" w:hAnsi="Times New Roman"/>
          <w:sz w:val="24"/>
        </w:rPr>
        <w:t>ль Московской области либо необходимость распространения предлагаемого регулирования на ранее возникшие отношения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p w:rsidR="009D0A91" w:rsidRDefault="00C86328">
      <w:pPr>
        <w:pStyle w:val="ConsPlusNonformat"/>
        <w:tabs>
          <w:tab w:val="left" w:pos="14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12.1. Предполагаемая дата вступления в силу проекта муниципального нормативного правового акта городского округа: с момента подписания.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12.2.</w:t>
      </w:r>
      <w:r>
        <w:rPr>
          <w:rFonts w:ascii="Times New Roman" w:hAnsi="Times New Roman"/>
          <w:sz w:val="24"/>
        </w:rPr>
        <w:t xml:space="preserve"> Необходимость установления переходного периода и (или) отсрочки принятия муниципального нормативного введения предлагаемого регулирования: нет</w:t>
      </w:r>
    </w:p>
    <w:p w:rsidR="009D0A91" w:rsidRDefault="00C86328">
      <w:pPr>
        <w:pStyle w:val="ConsPlusNonformat"/>
        <w:tabs>
          <w:tab w:val="left" w:pos="14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12.3. Срок _ 0 (дней с момента правового акта Городского округа Электросталь)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12.4. Необходимость распр</w:t>
      </w:r>
      <w:r>
        <w:rPr>
          <w:rFonts w:ascii="Times New Roman" w:hAnsi="Times New Roman"/>
          <w:sz w:val="24"/>
        </w:rPr>
        <w:t>остранения регулирования на ранее вступления в силу проекта муниципального возникшие отношения: нет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12.5. Срок 0_(дней до момента предлагаемого нормативного правового акта Городского округа Электросталь Московской области)</w:t>
      </w:r>
    </w:p>
    <w:p w:rsidR="009D0A91" w:rsidRDefault="00C86328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12.6. Обоснование необходимости у</w:t>
      </w:r>
      <w:r>
        <w:rPr>
          <w:rFonts w:ascii="Times New Roman" w:hAnsi="Times New Roman"/>
          <w:sz w:val="24"/>
        </w:rPr>
        <w:t xml:space="preserve">становления переходного периода </w:t>
      </w:r>
      <w:proofErr w:type="gramStart"/>
      <w:r>
        <w:rPr>
          <w:rFonts w:ascii="Times New Roman" w:hAnsi="Times New Roman"/>
          <w:sz w:val="24"/>
        </w:rPr>
        <w:t>и(</w:t>
      </w:r>
      <w:proofErr w:type="gramEnd"/>
      <w:r>
        <w:rPr>
          <w:rFonts w:ascii="Times New Roman" w:hAnsi="Times New Roman"/>
          <w:sz w:val="24"/>
        </w:rPr>
        <w:t xml:space="preserve">или) </w:t>
      </w:r>
      <w:r>
        <w:rPr>
          <w:rFonts w:ascii="Times New Roman" w:hAnsi="Times New Roman"/>
          <w:sz w:val="24"/>
        </w:rPr>
        <w:lastRenderedPageBreak/>
        <w:t>оторочки вступления в силу проекта акта либо необходимости распространения предлагаемого регулирования на ранее возникшие отношения: нет.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/>
          <w:sz w:val="24"/>
        </w:rPr>
      </w:pPr>
    </w:p>
    <w:p w:rsidR="009D0A91" w:rsidRDefault="009D0A91">
      <w:pPr>
        <w:pStyle w:val="ConsPlusNonformat"/>
        <w:tabs>
          <w:tab w:val="left" w:pos="142"/>
        </w:tabs>
        <w:jc w:val="both"/>
        <w:rPr>
          <w:rFonts w:ascii="Times New Roman" w:hAnsi="Times New Roman"/>
          <w:sz w:val="24"/>
        </w:rPr>
      </w:pP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>13. Необходимые для достижения заявленных целей регулирования организационно-</w:t>
      </w:r>
      <w:r w:rsidRPr="00C86328">
        <w:rPr>
          <w:rFonts w:ascii="Times New Roman" w:hAnsi="Times New Roman"/>
          <w:b/>
          <w:sz w:val="24"/>
        </w:rPr>
        <w:t>технические, методологические, информационные и иные мероприятия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003"/>
        <w:gridCol w:w="2493"/>
        <w:gridCol w:w="1350"/>
        <w:gridCol w:w="1875"/>
      </w:tblGrid>
      <w:tr w:rsidR="009D0A91">
        <w:tc>
          <w:tcPr>
            <w:tcW w:w="1849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13.1. Мероприятия, необходимые для достижения целей регулирования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13.2. Сроки мероприятий</w:t>
            </w:r>
          </w:p>
        </w:tc>
        <w:tc>
          <w:tcPr>
            <w:tcW w:w="2493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13.3. Описание ожидаемого результата</w:t>
            </w:r>
          </w:p>
        </w:tc>
        <w:tc>
          <w:tcPr>
            <w:tcW w:w="135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13.4. Объем финансирования</w:t>
            </w:r>
          </w:p>
        </w:tc>
        <w:tc>
          <w:tcPr>
            <w:tcW w:w="1875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13.5. 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Источники 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1849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Утверждение </w:t>
            </w:r>
            <w:r>
              <w:rPr>
                <w:rFonts w:ascii="Times New Roman" w:hAnsi="Times New Roman"/>
                <w:sz w:val="24"/>
              </w:rPr>
              <w:t>схем размещения объектов бизнеса в парках и на парковых территориях Городского округа Электросталь Московской области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требованиям действующего законодательства</w:t>
            </w:r>
          </w:p>
        </w:tc>
        <w:tc>
          <w:tcPr>
            <w:tcW w:w="2493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равных условий для участников открытого аукциона на право размещения неста</w:t>
            </w:r>
            <w:r>
              <w:rPr>
                <w:rFonts w:ascii="Times New Roman" w:hAnsi="Times New Roman"/>
                <w:sz w:val="24"/>
              </w:rPr>
              <w:t xml:space="preserve">ционарных торговых объектов на территории городского округа Электросталь Московской области, обеспечение равных возможностей для реализации прав для юридических лиц, ИП, физических лиц, применяющих </w:t>
            </w:r>
            <w:proofErr w:type="gramStart"/>
            <w:r>
              <w:rPr>
                <w:rFonts w:ascii="Times New Roman" w:hAnsi="Times New Roman"/>
                <w:sz w:val="24"/>
              </w:rPr>
              <w:t>специальный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налоговый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«Налог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профессиональный дох</w:t>
            </w:r>
            <w:r>
              <w:rPr>
                <w:rFonts w:ascii="Times New Roman" w:hAnsi="Times New Roman"/>
                <w:sz w:val="24"/>
              </w:rPr>
              <w:t>од» на осуществление предпринимательской деятельности по предоставлению услуг территории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парков на основании договора (соглашения), заключенного с МБУ «Парки Электростали», рациональное использование земельных участков территории </w:t>
            </w:r>
            <w:r>
              <w:rPr>
                <w:rFonts w:ascii="Times New Roman" w:hAnsi="Times New Roman"/>
                <w:sz w:val="24"/>
              </w:rPr>
              <w:lastRenderedPageBreak/>
              <w:t>Городского округа.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  <w:p w:rsidR="009D0A91" w:rsidRDefault="009D0A91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875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анные МБУ «Парки Электростали».</w:t>
            </w:r>
          </w:p>
        </w:tc>
      </w:tr>
      <w:tr w:rsidR="009D0A91">
        <w:tc>
          <w:tcPr>
            <w:tcW w:w="9570" w:type="dxa"/>
            <w:gridSpan w:val="5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отсутствуют.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D0A91" w:rsidRDefault="009D0A91">
      <w:pPr>
        <w:pStyle w:val="ConsPlusNonformat"/>
        <w:tabs>
          <w:tab w:val="left" w:pos="142"/>
        </w:tabs>
        <w:ind w:firstLine="567"/>
        <w:rPr>
          <w:rFonts w:ascii="Times New Roman" w:hAnsi="Times New Roman"/>
          <w:sz w:val="24"/>
        </w:rPr>
      </w:pP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 xml:space="preserve">14. Индикативные показатели, программы </w:t>
      </w:r>
      <w:r w:rsidRPr="00C86328">
        <w:rPr>
          <w:rFonts w:ascii="Times New Roman" w:hAnsi="Times New Roman"/>
          <w:b/>
          <w:sz w:val="24"/>
        </w:rPr>
        <w:t xml:space="preserve">мониторинга и иные способы (методы) оценки достижения </w:t>
      </w:r>
      <w:proofErr w:type="gramStart"/>
      <w:r w:rsidRPr="00C86328">
        <w:rPr>
          <w:rFonts w:ascii="Times New Roman" w:hAnsi="Times New Roman"/>
          <w:b/>
          <w:sz w:val="24"/>
        </w:rPr>
        <w:t>заявленных</w:t>
      </w:r>
      <w:proofErr w:type="gramEnd"/>
    </w:p>
    <w:p w:rsidR="009D0A91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  <w:r w:rsidRPr="00C86328">
        <w:rPr>
          <w:rFonts w:ascii="Times New Roman" w:hAnsi="Times New Roman"/>
          <w:b/>
          <w:sz w:val="24"/>
        </w:rPr>
        <w:t>целей регулирования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2651"/>
        <w:gridCol w:w="2111"/>
        <w:gridCol w:w="2310"/>
      </w:tblGrid>
      <w:tr w:rsidR="009D0A91">
        <w:tc>
          <w:tcPr>
            <w:tcW w:w="2498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14.1. Цели предлагаемого регулирования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51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14.2. Индикативные показатели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14.3. Единицы измерения индикативных показателей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14.4. Способы расчета индикативных показателей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ind w:firstLine="567"/>
              <w:rPr>
                <w:rFonts w:ascii="Times New Roman" w:hAnsi="Times New Roman"/>
                <w:u w:val="single"/>
              </w:rPr>
            </w:pP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2498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равных условий для участников открытого аукциона на право размещения нестационарных торговых объектов на территории парков и парковых территориях Городского округа Электросталь Московской области,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беспечение равных возможностей для </w:t>
            </w:r>
            <w:r>
              <w:rPr>
                <w:rFonts w:ascii="Times New Roman" w:hAnsi="Times New Roman"/>
                <w:sz w:val="24"/>
              </w:rPr>
              <w:t>реализации прав для юридических лиц, ИП, физических лиц, применяющих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специальный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налоговый режим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«Налог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Профессиональный доход»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предпринимательской деятельности,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-рациональное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земельных участков на территории городского ок</w:t>
            </w:r>
            <w:r>
              <w:rPr>
                <w:rFonts w:ascii="Times New Roman" w:hAnsi="Times New Roman"/>
                <w:sz w:val="24"/>
              </w:rPr>
              <w:t xml:space="preserve">руга Электросталь </w:t>
            </w:r>
            <w:r>
              <w:rPr>
                <w:rFonts w:ascii="Times New Roman" w:hAnsi="Times New Roman"/>
                <w:sz w:val="24"/>
              </w:rPr>
              <w:lastRenderedPageBreak/>
              <w:t>Московской области.</w:t>
            </w:r>
          </w:p>
        </w:tc>
        <w:tc>
          <w:tcPr>
            <w:tcW w:w="2651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заключение договоро</w:t>
            </w:r>
            <w:proofErr w:type="gramStart"/>
            <w:r>
              <w:rPr>
                <w:rFonts w:ascii="Times New Roman" w:hAnsi="Times New Roman"/>
                <w:sz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соглашений) между МБУ «Парки Электростали»  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юридическими лицами, ИП, физическими лицами, применяющими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специальный налоговый</w:t>
            </w:r>
            <w:r>
              <w:rPr>
                <w:rFonts w:ascii="Times New Roman" w:hAnsi="Times New Roman"/>
                <w:sz w:val="24"/>
              </w:rPr>
              <w:tab/>
              <w:t xml:space="preserve">режим «Налог на профессиональный доход» на право размещения объекта </w:t>
            </w:r>
            <w:r>
              <w:rPr>
                <w:rFonts w:ascii="Times New Roman" w:hAnsi="Times New Roman"/>
                <w:sz w:val="24"/>
              </w:rPr>
              <w:t xml:space="preserve">бизнеса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утвержденными схемами размещения объектов </w:t>
            </w:r>
            <w:proofErr w:type="gramStart"/>
            <w:r>
              <w:rPr>
                <w:rFonts w:ascii="Times New Roman" w:hAnsi="Times New Roman"/>
                <w:sz w:val="24"/>
              </w:rPr>
              <w:t>Московской</w:t>
            </w:r>
            <w:proofErr w:type="gramEnd"/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бизнеса на территории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области, парков и на парковых территориях Городского округа Электросталь Московской области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1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31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подсчет заключенных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договоров (соглашений) с юридическими ли</w:t>
            </w:r>
            <w:r>
              <w:rPr>
                <w:rFonts w:ascii="Times New Roman" w:hAnsi="Times New Roman"/>
                <w:sz w:val="24"/>
              </w:rPr>
              <w:t>цами, ИП, физическими лицами,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применяющими специальный налоговый</w:t>
            </w:r>
          </w:p>
          <w:p w:rsidR="009D0A91" w:rsidRDefault="00C86328">
            <w:pPr>
              <w:pStyle w:val="ConsPlusNonformat"/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«Налог на профессиональный доход»</w:t>
            </w:r>
          </w:p>
        </w:tc>
      </w:tr>
      <w:tr w:rsidR="009D0A91">
        <w:tc>
          <w:tcPr>
            <w:tcW w:w="9570" w:type="dxa"/>
            <w:gridSpan w:val="4"/>
          </w:tcPr>
          <w:p w:rsidR="009D0A91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14.5. Информация о программах мониторинга и иных способах (методах) оценки достижения заявленных целей регулирования: проведение мониторинга эффективн</w:t>
            </w:r>
            <w:r>
              <w:rPr>
                <w:rFonts w:ascii="Times New Roman" w:hAnsi="Times New Roman"/>
                <w:sz w:val="24"/>
              </w:rPr>
              <w:t>ости данного нормативно-правового акта путем подсчета заключенных договоров (соглашений) с юридическими лицами, ИП, физическими лицами, применяющими специальный налоговый режим «Налог на профессиональный доход»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5149" w:type="dxa"/>
            <w:gridSpan w:val="2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14.6. Оценка затрат на осуществление млн. </w:t>
            </w:r>
            <w:r>
              <w:rPr>
                <w:rFonts w:ascii="Times New Roman" w:hAnsi="Times New Roman"/>
                <w:sz w:val="24"/>
              </w:rPr>
              <w:t>рублей мониторинга (в среднем в год):0</w:t>
            </w:r>
          </w:p>
        </w:tc>
        <w:tc>
          <w:tcPr>
            <w:tcW w:w="4421" w:type="dxa"/>
            <w:gridSpan w:val="2"/>
          </w:tcPr>
          <w:p w:rsidR="009D0A91" w:rsidRDefault="00C86328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___0___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млн.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руб</w:t>
            </w:r>
            <w:proofErr w:type="spellEnd"/>
          </w:p>
        </w:tc>
      </w:tr>
      <w:tr w:rsidR="009D0A91">
        <w:tc>
          <w:tcPr>
            <w:tcW w:w="9570" w:type="dxa"/>
            <w:gridSpan w:val="4"/>
          </w:tcPr>
          <w:p w:rsidR="009D0A91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14.7. Описание источников информации для расчета показателей (индикаторов): реестр заключенных договоров (соглашений) с юридическими лицами, ИП, физическими лицами, применяющими специальный налоговый </w:t>
            </w:r>
            <w:r>
              <w:rPr>
                <w:rFonts w:ascii="Times New Roman" w:hAnsi="Times New Roman"/>
                <w:sz w:val="24"/>
              </w:rPr>
              <w:t xml:space="preserve">режим «Налог на профессиональный доход» </w:t>
            </w:r>
            <w:proofErr w:type="gramStart"/>
            <w:r>
              <w:rPr>
                <w:rFonts w:ascii="Times New Roman" w:hAnsi="Times New Roman"/>
                <w:sz w:val="24"/>
              </w:rPr>
              <w:t>на право размещение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объекта бизнеса на территории парков и на парковых территориях Городского округа Электросталь Московской области.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D0A91" w:rsidRDefault="009D0A91">
      <w:pPr>
        <w:pStyle w:val="ConsPlusNonformat"/>
        <w:tabs>
          <w:tab w:val="left" w:pos="142"/>
        </w:tabs>
        <w:jc w:val="center"/>
        <w:rPr>
          <w:rFonts w:ascii="Times New Roman" w:hAnsi="Times New Roman"/>
          <w:sz w:val="24"/>
        </w:rPr>
      </w:pP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>15. Сведения о размещении уведомления, сроках предоставления</w:t>
      </w: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 xml:space="preserve">предложений в </w:t>
      </w:r>
      <w:r w:rsidRPr="00C86328">
        <w:rPr>
          <w:rFonts w:ascii="Times New Roman" w:hAnsi="Times New Roman"/>
          <w:b/>
          <w:sz w:val="24"/>
        </w:rPr>
        <w:t>связи с таким размещением, лицах, предоставивших предложения, и рассмотревших их структурных подразделениях разработчика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9D0A91">
        <w:tc>
          <w:tcPr>
            <w:tcW w:w="9570" w:type="dxa"/>
          </w:tcPr>
          <w:p w:rsidR="009D0A91" w:rsidRDefault="00C86328">
            <w:pPr>
              <w:pStyle w:val="ConsPlusNonformat"/>
              <w:tabs>
                <w:tab w:val="left" w:pos="142"/>
              </w:tabs>
              <w:ind w:firstLine="567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15.1. Полный электронный адрес размещения уведомления в информационн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телекоммуникационной сети «Интернет»: </w:t>
            </w:r>
            <w:hyperlink r:id="rId7" w:history="1">
              <w:r>
                <w:rPr>
                  <w:rStyle w:val="af1"/>
                  <w:rFonts w:ascii="Times New Roman" w:hAnsi="Times New Roman"/>
                  <w:sz w:val="24"/>
                </w:rPr>
                <w:t>https://electrostal.ru/administratsiya/ofitsial-nye-dokumenty/otsenka-reguliruyushchego-vozdyeistviya/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D0A91" w:rsidRDefault="009D0A91">
            <w:pPr>
              <w:pStyle w:val="ConsPlusNonformat"/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9570" w:type="dxa"/>
          </w:tcPr>
          <w:p w:rsidR="009D0A91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15.2. Срок, в течение которого разработчиком принимались </w:t>
            </w:r>
            <w:r>
              <w:rPr>
                <w:rFonts w:ascii="Times New Roman" w:hAnsi="Times New Roman"/>
                <w:sz w:val="24"/>
              </w:rPr>
              <w:t>предложения в связи с размещением уведомления о подготовке проекта акта:</w:t>
            </w:r>
          </w:p>
          <w:p w:rsidR="009D0A91" w:rsidRPr="00C86328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C86328">
              <w:rPr>
                <w:rFonts w:ascii="Times New Roman" w:hAnsi="Times New Roman"/>
                <w:sz w:val="24"/>
              </w:rPr>
              <w:t>начало: «23» июля</w:t>
            </w:r>
            <w:r w:rsidRPr="00C86328">
              <w:rPr>
                <w:rFonts w:ascii="Times New Roman" w:hAnsi="Times New Roman"/>
                <w:sz w:val="24"/>
              </w:rPr>
              <w:t xml:space="preserve"> 2024 г.; </w:t>
            </w:r>
          </w:p>
          <w:p w:rsidR="009D0A91" w:rsidRPr="00C86328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C86328">
              <w:rPr>
                <w:rFonts w:ascii="Times New Roman" w:hAnsi="Times New Roman"/>
                <w:sz w:val="24"/>
              </w:rPr>
              <w:t>окончание: «05»</w:t>
            </w:r>
            <w:r w:rsidRPr="00C86328">
              <w:rPr>
                <w:rFonts w:ascii="Times New Roman" w:hAnsi="Times New Roman"/>
                <w:sz w:val="24"/>
              </w:rPr>
              <w:t xml:space="preserve"> августа 2024г.</w:t>
            </w:r>
          </w:p>
          <w:p w:rsidR="009D0A91" w:rsidRDefault="009D0A91" w:rsidP="00C86328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9570" w:type="dxa"/>
          </w:tcPr>
          <w:p w:rsidR="009D0A91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15.3. Сведения о лицах, предоставивших предложения: предложений не поступало.</w:t>
            </w:r>
          </w:p>
          <w:p w:rsidR="009D0A91" w:rsidRDefault="009D0A91" w:rsidP="00C86328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9570" w:type="dxa"/>
          </w:tcPr>
          <w:p w:rsidR="009D0A91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15.4. Сведения о структурных подразделе</w:t>
            </w:r>
            <w:r>
              <w:rPr>
                <w:rFonts w:ascii="Times New Roman" w:hAnsi="Times New Roman"/>
                <w:sz w:val="24"/>
              </w:rPr>
              <w:t>ниях разработчика, рассмотревших предоставленные предложения: не рассматривались в связи с отсутствием предложений.</w:t>
            </w:r>
          </w:p>
          <w:p w:rsidR="009D0A91" w:rsidRDefault="009D0A91" w:rsidP="00C86328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p w:rsidR="009D0A91" w:rsidRPr="00C86328" w:rsidRDefault="00C86328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b/>
          <w:sz w:val="24"/>
        </w:rPr>
      </w:pPr>
      <w:r w:rsidRPr="00C86328">
        <w:rPr>
          <w:rFonts w:ascii="Times New Roman" w:hAnsi="Times New Roman"/>
          <w:b/>
          <w:sz w:val="24"/>
        </w:rPr>
        <w:t>16. Иные сведения, которые, по мнению разработчика, позволяют оценить обоснованность предлагаемого регулирования</w:t>
      </w:r>
    </w:p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9D0A91">
        <w:tc>
          <w:tcPr>
            <w:tcW w:w="9570" w:type="dxa"/>
          </w:tcPr>
          <w:p w:rsidR="009D0A91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16.1.  Иные необходимые, по мнению разработчика, сведения: отсутствуют.</w:t>
            </w:r>
          </w:p>
          <w:p w:rsidR="009D0A91" w:rsidRDefault="009D0A91" w:rsidP="00C86328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D0A91">
        <w:tc>
          <w:tcPr>
            <w:tcW w:w="9570" w:type="dxa"/>
          </w:tcPr>
          <w:p w:rsidR="009D0A91" w:rsidRDefault="00C86328" w:rsidP="00C86328">
            <w:pPr>
              <w:pStyle w:val="ConsPlusNonformat"/>
              <w:tabs>
                <w:tab w:val="left" w:pos="142"/>
              </w:tabs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16.2. Источники данных: данные управления инвестиций, промышленности, предпринимательства и науки Администрации Городского округа Электросталь Московской области.</w:t>
            </w:r>
          </w:p>
          <w:p w:rsidR="009D0A91" w:rsidRDefault="009D0A91" w:rsidP="00C86328">
            <w:pPr>
              <w:pStyle w:val="ConsPlusNonformat"/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D0A91" w:rsidRDefault="009D0A91">
      <w:pPr>
        <w:pStyle w:val="ConsPlusNonformat"/>
        <w:tabs>
          <w:tab w:val="left" w:pos="142"/>
        </w:tabs>
        <w:ind w:firstLine="567"/>
        <w:jc w:val="center"/>
        <w:rPr>
          <w:rFonts w:ascii="Times New Roman" w:hAnsi="Times New Roman"/>
          <w:sz w:val="24"/>
        </w:rPr>
      </w:pPr>
    </w:p>
    <w:p w:rsidR="009D0A91" w:rsidRDefault="009D0A91">
      <w:pPr>
        <w:pStyle w:val="ConsPlusNonformat"/>
        <w:tabs>
          <w:tab w:val="left" w:pos="142"/>
        </w:tabs>
        <w:rPr>
          <w:rFonts w:ascii="Times New Roman" w:hAnsi="Times New Roman"/>
          <w:sz w:val="24"/>
        </w:rPr>
      </w:pPr>
    </w:p>
    <w:sectPr w:rsidR="009D0A91">
      <w:pgSz w:w="11906" w:h="16838" w:code="9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3A2E"/>
    <w:multiLevelType w:val="multilevel"/>
    <w:tmpl w:val="CE16C1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7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">
    <w:nsid w:val="5A1065C4"/>
    <w:multiLevelType w:val="multilevel"/>
    <w:tmpl w:val="75C81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15510"/>
    <w:multiLevelType w:val="multilevel"/>
    <w:tmpl w:val="B62A1E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0A91"/>
    <w:rsid w:val="00614DC0"/>
    <w:rsid w:val="00985751"/>
    <w:rsid w:val="009D0A91"/>
    <w:rsid w:val="00C86328"/>
    <w:rsid w:val="00C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Default">
    <w:name w:val="Default"/>
    <w:rPr>
      <w:color w:val="000000"/>
      <w:sz w:val="24"/>
    </w:rPr>
  </w:style>
  <w:style w:type="paragraph" w:styleId="a3">
    <w:name w:val="Body Text"/>
    <w:basedOn w:val="a"/>
    <w:pPr>
      <w:jc w:val="both"/>
    </w:pPr>
    <w:rPr>
      <w:rFonts w:ascii="Arial" w:hAnsi="Arial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10">
    <w:name w:val="Знак Знак1"/>
    <w:basedOn w:val="a"/>
    <w:rPr>
      <w:rFonts w:ascii="Verdana" w:hAnsi="Verdana"/>
      <w:sz w:val="20"/>
    </w:rPr>
  </w:style>
  <w:style w:type="paragraph" w:styleId="aa">
    <w:name w:val="endnote text"/>
    <w:basedOn w:val="a"/>
    <w:link w:val="ab"/>
    <w:rPr>
      <w:sz w:val="20"/>
    </w:rPr>
  </w:style>
  <w:style w:type="paragraph" w:styleId="ac">
    <w:name w:val="footnote text"/>
    <w:basedOn w:val="a"/>
    <w:link w:val="ad"/>
    <w:rPr>
      <w:sz w:val="2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7">
    <w:name w:val="Верхний колонтитул Знак"/>
    <w:link w:val="a6"/>
    <w:rPr>
      <w:rFonts w:ascii="Calibri" w:hAnsi="Calibri"/>
      <w:sz w:val="22"/>
    </w:rPr>
  </w:style>
  <w:style w:type="character" w:customStyle="1" w:styleId="a9">
    <w:name w:val="Нижний колонтитул Знак"/>
    <w:link w:val="a8"/>
    <w:rPr>
      <w:rFonts w:ascii="Calibri" w:hAnsi="Calibri"/>
      <w:sz w:val="22"/>
    </w:rPr>
  </w:style>
  <w:style w:type="character" w:customStyle="1" w:styleId="ab">
    <w:name w:val="Текст концевой сноски Знак"/>
    <w:link w:val="aa"/>
    <w:rPr>
      <w:sz w:val="20"/>
    </w:rPr>
  </w:style>
  <w:style w:type="character" w:styleId="af2">
    <w:name w:val="endnote reference"/>
    <w:rPr>
      <w:rFonts w:ascii="Times New Roman" w:hAnsi="Times New Roman"/>
      <w:i/>
      <w:sz w:val="24"/>
      <w:vertAlign w:val="superscript"/>
    </w:rPr>
  </w:style>
  <w:style w:type="character" w:customStyle="1" w:styleId="ad">
    <w:name w:val="Текст сноски Знак"/>
    <w:link w:val="ac"/>
    <w:rPr>
      <w:sz w:val="20"/>
    </w:rPr>
  </w:style>
  <w:style w:type="character" w:styleId="af3">
    <w:name w:val="footnote reference"/>
    <w:rPr>
      <w:vertAlign w:val="superscript"/>
    </w:rPr>
  </w:style>
  <w:style w:type="character" w:customStyle="1" w:styleId="af">
    <w:name w:val="Текст выноски Знак"/>
    <w:link w:val="ae"/>
    <w:rPr>
      <w:rFonts w:ascii="Tahoma" w:hAnsi="Tahoma"/>
      <w:sz w:val="16"/>
    </w:rPr>
  </w:style>
  <w:style w:type="character" w:customStyle="1" w:styleId="70">
    <w:name w:val="Заголовок 7 Знак"/>
    <w:link w:val="7"/>
    <w:rPr>
      <w:rFonts w:ascii="Calibri" w:hAnsi="Calibri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character" w:styleId="af4">
    <w:name w:val="FollowedHyperlink"/>
    <w:rPr>
      <w:color w:val="800080"/>
      <w:u w:val="single"/>
    </w:rPr>
  </w:style>
  <w:style w:type="character" w:styleId="af5">
    <w:name w:val="Emphasis"/>
    <w:qFormat/>
    <w:rPr>
      <w:i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ectrostal.ru/administratsiya/ofitsial-nye-dokumenty/otsenka-reguliruyushchego-vozdyei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investpr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5</cp:revision>
  <dcterms:created xsi:type="dcterms:W3CDTF">2024-08-05T06:08:00Z</dcterms:created>
  <dcterms:modified xsi:type="dcterms:W3CDTF">2024-08-05T06:22:00Z</dcterms:modified>
</cp:coreProperties>
</file>