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E243D1" w:rsidRDefault="00A8176C" w:rsidP="008855D4">
      <w:pPr>
        <w:ind w:left="-1560" w:right="-567"/>
        <w:contextualSpacing/>
        <w:jc w:val="center"/>
        <w:rPr>
          <w:sz w:val="44"/>
        </w:rPr>
      </w:pPr>
      <w:bookmarkStart w:id="0" w:name="_GoBack"/>
      <w:r w:rsidRPr="00E243D1">
        <w:rPr>
          <w:sz w:val="44"/>
        </w:rPr>
        <w:t>ПОСТАНОВЛЕНИ</w:t>
      </w:r>
      <w:r w:rsidR="00AC4C04" w:rsidRPr="00E243D1">
        <w:rPr>
          <w:sz w:val="44"/>
        </w:rPr>
        <w:t>Е</w:t>
      </w:r>
    </w:p>
    <w:p w14:paraId="10052F28" w14:textId="77777777" w:rsidR="00AC4C04" w:rsidRPr="00E243D1" w:rsidRDefault="00AC4C04" w:rsidP="008855D4">
      <w:pPr>
        <w:ind w:left="-1560" w:right="-567"/>
        <w:jc w:val="center"/>
        <w:rPr>
          <w:sz w:val="44"/>
          <w:szCs w:val="44"/>
        </w:rPr>
      </w:pPr>
    </w:p>
    <w:p w14:paraId="2EB595AA" w14:textId="6E25D221" w:rsidR="00935048" w:rsidRDefault="009D3D27" w:rsidP="00AE41EB">
      <w:pPr>
        <w:ind w:left="-1560" w:right="-567"/>
        <w:jc w:val="center"/>
        <w:outlineLvl w:val="0"/>
      </w:pPr>
      <w:r w:rsidRPr="00AE41EB">
        <w:t>09.10.2023</w:t>
      </w:r>
      <w:r w:rsidR="000C09A6">
        <w:t xml:space="preserve"> № </w:t>
      </w:r>
      <w:r w:rsidRPr="00AE41EB">
        <w:t>1347/10</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67556AC6" w:rsidR="0059519B" w:rsidRPr="00AE41EB" w:rsidRDefault="00A94BC8" w:rsidP="00AE41EB">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AE41EB">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14:paraId="74FAAF35" w14:textId="77777777" w:rsidR="0059519B" w:rsidRDefault="0059519B" w:rsidP="0059519B">
      <w:pPr>
        <w:autoSpaceDE w:val="0"/>
        <w:autoSpaceDN w:val="0"/>
        <w:adjustRightInd w:val="0"/>
        <w:rPr>
          <w:rFonts w:cs="Times New Roman"/>
        </w:rPr>
      </w:pPr>
    </w:p>
    <w:p w14:paraId="3BFB3BF7" w14:textId="77777777" w:rsidR="00AE41EB" w:rsidRPr="0059519B" w:rsidRDefault="00AE41E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3318A184"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AE41EB">
      <w:pPr>
        <w:autoSpaceDE w:val="0"/>
        <w:autoSpaceDN w:val="0"/>
        <w:adjustRightInd w:val="0"/>
        <w:jc w:val="both"/>
      </w:pPr>
    </w:p>
    <w:p w14:paraId="7FA6558C" w14:textId="77777777" w:rsidR="00BE3CA5" w:rsidRDefault="00BE3CA5" w:rsidP="00AE41EB">
      <w:pPr>
        <w:autoSpaceDE w:val="0"/>
        <w:autoSpaceDN w:val="0"/>
        <w:adjustRightInd w:val="0"/>
        <w:jc w:val="both"/>
      </w:pPr>
    </w:p>
    <w:p w14:paraId="303855DD" w14:textId="77777777" w:rsidR="00AE41EB" w:rsidRPr="0059519B" w:rsidRDefault="00AE41EB" w:rsidP="00AE41EB">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76C0E274"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AE41EB" w:rsidRPr="00AE41EB">
        <w:t>09.10.2023</w:t>
      </w:r>
      <w:r w:rsidR="00AE41EB">
        <w:t xml:space="preserve"> № </w:t>
      </w:r>
      <w:r w:rsidR="00AE41EB" w:rsidRPr="00AE41EB">
        <w:t>1347/10</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2A981420" w:rsidR="00372C6E" w:rsidRPr="0046095F"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r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lastRenderedPageBreak/>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54EEB388" w:rsidR="00B655F8" w:rsidRPr="00674F64" w:rsidRDefault="006644EC" w:rsidP="00B655F8">
            <w:pPr>
              <w:jc w:val="center"/>
              <w:rPr>
                <w:rFonts w:cs="Times New Roman"/>
                <w:highlight w:val="yellow"/>
              </w:rPr>
            </w:pPr>
            <w:r w:rsidRPr="006644EC">
              <w:t>72</w:t>
            </w:r>
            <w:r>
              <w:t xml:space="preserve"> </w:t>
            </w:r>
            <w:r w:rsidRPr="006644EC">
              <w:t>495,17</w:t>
            </w:r>
          </w:p>
        </w:tc>
        <w:tc>
          <w:tcPr>
            <w:tcW w:w="1901" w:type="dxa"/>
            <w:shd w:val="clear" w:color="auto" w:fill="auto"/>
          </w:tcPr>
          <w:p w14:paraId="4DBC2119" w14:textId="21894AF9" w:rsidR="00B655F8" w:rsidRPr="00674F64" w:rsidRDefault="006644EC" w:rsidP="00B655F8">
            <w:pPr>
              <w:jc w:val="center"/>
              <w:rPr>
                <w:rFonts w:cs="Times New Roman"/>
                <w:highlight w:val="yellow"/>
              </w:rPr>
            </w:pPr>
            <w:r w:rsidRPr="006644EC">
              <w:t>72</w:t>
            </w:r>
            <w:r>
              <w:t xml:space="preserve"> </w:t>
            </w:r>
            <w:r w:rsidRPr="006644EC">
              <w:t>495,17</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33278087" w:rsidR="00B655F8" w:rsidRPr="00674F64" w:rsidRDefault="0017301D" w:rsidP="00B655F8">
            <w:pPr>
              <w:jc w:val="center"/>
              <w:rPr>
                <w:highlight w:val="yellow"/>
              </w:rPr>
            </w:pPr>
            <w:r w:rsidRPr="0017301D">
              <w:t>183</w:t>
            </w:r>
            <w:r>
              <w:t xml:space="preserve"> </w:t>
            </w:r>
            <w:r w:rsidRPr="0017301D">
              <w:t>083,53</w:t>
            </w:r>
          </w:p>
        </w:tc>
        <w:tc>
          <w:tcPr>
            <w:tcW w:w="1901" w:type="dxa"/>
            <w:shd w:val="clear" w:color="auto" w:fill="auto"/>
          </w:tcPr>
          <w:p w14:paraId="56326036" w14:textId="097A142A" w:rsidR="00B655F8" w:rsidRPr="00674F64" w:rsidRDefault="0029190F" w:rsidP="00B655F8">
            <w:pPr>
              <w:jc w:val="center"/>
              <w:rPr>
                <w:highlight w:val="yellow"/>
              </w:rPr>
            </w:pPr>
            <w:r w:rsidRPr="0029190F">
              <w:t>183</w:t>
            </w:r>
            <w:r w:rsidR="00BF02A9">
              <w:t xml:space="preserve"> </w:t>
            </w:r>
            <w:r w:rsidRPr="0029190F">
              <w:t>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315FB1" w:rsidRDefault="00B655F8" w:rsidP="00B655F8">
            <w:pPr>
              <w:jc w:val="center"/>
            </w:pPr>
            <w:r w:rsidRPr="00315FB1">
              <w:t>0,00</w:t>
            </w:r>
          </w:p>
        </w:tc>
        <w:tc>
          <w:tcPr>
            <w:tcW w:w="1901" w:type="dxa"/>
            <w:shd w:val="clear" w:color="auto" w:fill="auto"/>
          </w:tcPr>
          <w:p w14:paraId="6D5CD508" w14:textId="1A64C971" w:rsidR="00B655F8" w:rsidRPr="00315FB1" w:rsidRDefault="00B655F8" w:rsidP="00B655F8">
            <w:pPr>
              <w:jc w:val="center"/>
            </w:pPr>
            <w:r w:rsidRPr="00315FB1">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315FB1" w:rsidRDefault="00B655F8" w:rsidP="00B655F8">
            <w:pPr>
              <w:jc w:val="center"/>
            </w:pPr>
            <w:r w:rsidRPr="00315FB1">
              <w:t>0,00</w:t>
            </w:r>
          </w:p>
        </w:tc>
        <w:tc>
          <w:tcPr>
            <w:tcW w:w="1901" w:type="dxa"/>
            <w:shd w:val="clear" w:color="auto" w:fill="auto"/>
          </w:tcPr>
          <w:p w14:paraId="53AE267E" w14:textId="6D397702" w:rsidR="00B655F8" w:rsidRPr="00315FB1" w:rsidRDefault="00B655F8" w:rsidP="00B655F8">
            <w:pPr>
              <w:jc w:val="center"/>
            </w:pPr>
            <w:r w:rsidRPr="00315FB1">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2AAA61F5" w:rsidR="00B655F8" w:rsidRPr="00674F64" w:rsidRDefault="0084346C" w:rsidP="00B655F8">
            <w:pPr>
              <w:jc w:val="center"/>
              <w:rPr>
                <w:rFonts w:eastAsia="Calibri" w:cs="Times New Roman"/>
                <w:highlight w:val="yellow"/>
                <w:lang w:eastAsia="en-US"/>
              </w:rPr>
            </w:pPr>
            <w:r w:rsidRPr="0084346C">
              <w:t>255</w:t>
            </w:r>
            <w:r>
              <w:t xml:space="preserve"> </w:t>
            </w:r>
            <w:r w:rsidRPr="0084346C">
              <w:t>578,7</w:t>
            </w:r>
            <w:r>
              <w:t>0</w:t>
            </w:r>
          </w:p>
        </w:tc>
        <w:tc>
          <w:tcPr>
            <w:tcW w:w="1901" w:type="dxa"/>
            <w:shd w:val="clear" w:color="auto" w:fill="auto"/>
          </w:tcPr>
          <w:p w14:paraId="0D922703" w14:textId="16E21A05" w:rsidR="00B655F8" w:rsidRPr="00674F64" w:rsidRDefault="0084346C" w:rsidP="00B655F8">
            <w:pPr>
              <w:jc w:val="center"/>
              <w:rPr>
                <w:rFonts w:eastAsia="Calibri" w:cs="Times New Roman"/>
                <w:highlight w:val="yellow"/>
                <w:lang w:eastAsia="en-US"/>
              </w:rPr>
            </w:pPr>
            <w:r w:rsidRPr="0084346C">
              <w:t>255</w:t>
            </w:r>
            <w:r>
              <w:t xml:space="preserve"> </w:t>
            </w:r>
            <w:r w:rsidRPr="0084346C">
              <w:t>578,7</w:t>
            </w:r>
            <w:r>
              <w:t>0</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2"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3" w:name="sub_1004"/>
      <w:bookmarkEnd w:id="2"/>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5"/>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1276"/>
        <w:gridCol w:w="1984"/>
        <w:gridCol w:w="993"/>
        <w:gridCol w:w="850"/>
        <w:gridCol w:w="851"/>
        <w:gridCol w:w="992"/>
        <w:gridCol w:w="850"/>
        <w:gridCol w:w="851"/>
        <w:gridCol w:w="992"/>
        <w:gridCol w:w="851"/>
        <w:gridCol w:w="850"/>
        <w:gridCol w:w="851"/>
        <w:gridCol w:w="1417"/>
      </w:tblGrid>
      <w:tr w:rsidR="00A74A98" w:rsidRPr="004717EF" w14:paraId="29682352" w14:textId="77777777" w:rsidTr="00FF0B9C">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702"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276"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984"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938"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7"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FF0B9C">
        <w:tc>
          <w:tcPr>
            <w:tcW w:w="425" w:type="dxa"/>
            <w:vMerge/>
          </w:tcPr>
          <w:p w14:paraId="1B1FDBD4" w14:textId="77777777" w:rsidR="00A74A98" w:rsidRPr="004717EF" w:rsidRDefault="00A74A98" w:rsidP="00BA696D">
            <w:pPr>
              <w:rPr>
                <w:rFonts w:cs="Times New Roman"/>
                <w:sz w:val="18"/>
                <w:szCs w:val="18"/>
              </w:rPr>
            </w:pPr>
          </w:p>
        </w:tc>
        <w:tc>
          <w:tcPr>
            <w:tcW w:w="1702" w:type="dxa"/>
            <w:vMerge/>
          </w:tcPr>
          <w:p w14:paraId="30412218" w14:textId="77777777" w:rsidR="00A74A98" w:rsidRPr="004717EF" w:rsidRDefault="00A74A98" w:rsidP="00BA696D">
            <w:pPr>
              <w:rPr>
                <w:rFonts w:cs="Times New Roman"/>
                <w:sz w:val="18"/>
                <w:szCs w:val="18"/>
              </w:rPr>
            </w:pPr>
          </w:p>
        </w:tc>
        <w:tc>
          <w:tcPr>
            <w:tcW w:w="1276" w:type="dxa"/>
            <w:vMerge/>
          </w:tcPr>
          <w:p w14:paraId="4DC5B089" w14:textId="77777777" w:rsidR="00A74A98" w:rsidRPr="004717EF" w:rsidRDefault="00A74A98" w:rsidP="00BA696D">
            <w:pPr>
              <w:jc w:val="center"/>
              <w:rPr>
                <w:rFonts w:cs="Times New Roman"/>
                <w:sz w:val="18"/>
                <w:szCs w:val="18"/>
              </w:rPr>
            </w:pPr>
          </w:p>
        </w:tc>
        <w:tc>
          <w:tcPr>
            <w:tcW w:w="1984" w:type="dxa"/>
            <w:vMerge/>
          </w:tcPr>
          <w:p w14:paraId="34124BFD" w14:textId="77777777" w:rsidR="00A74A98" w:rsidRPr="004717EF" w:rsidRDefault="00A74A98" w:rsidP="00BA696D">
            <w:pPr>
              <w:rPr>
                <w:rFonts w:cs="Times New Roman"/>
                <w:sz w:val="18"/>
                <w:szCs w:val="18"/>
              </w:rPr>
            </w:pPr>
          </w:p>
        </w:tc>
        <w:tc>
          <w:tcPr>
            <w:tcW w:w="993" w:type="dxa"/>
            <w:vMerge/>
          </w:tcPr>
          <w:p w14:paraId="3CFA090B" w14:textId="77777777" w:rsidR="00A74A98" w:rsidRPr="004717EF" w:rsidRDefault="00A74A98" w:rsidP="00BA696D">
            <w:pPr>
              <w:rPr>
                <w:rFonts w:cs="Times New Roman"/>
                <w:sz w:val="18"/>
                <w:szCs w:val="18"/>
              </w:rPr>
            </w:pPr>
          </w:p>
        </w:tc>
        <w:tc>
          <w:tcPr>
            <w:tcW w:w="4394"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992"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7"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FF0B9C">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276"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984"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992"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7"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FF0B9C">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276"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1984"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FF0B9C">
        <w:tc>
          <w:tcPr>
            <w:tcW w:w="425" w:type="dxa"/>
            <w:vMerge/>
          </w:tcPr>
          <w:p w14:paraId="40228E76" w14:textId="77777777" w:rsidR="00A74A98" w:rsidRPr="004717EF" w:rsidRDefault="00A74A98" w:rsidP="00BA696D">
            <w:pPr>
              <w:rPr>
                <w:rFonts w:cs="Times New Roman"/>
                <w:sz w:val="18"/>
                <w:szCs w:val="18"/>
              </w:rPr>
            </w:pPr>
          </w:p>
        </w:tc>
        <w:tc>
          <w:tcPr>
            <w:tcW w:w="1702" w:type="dxa"/>
            <w:vMerge/>
          </w:tcPr>
          <w:p w14:paraId="08C02202" w14:textId="77777777" w:rsidR="00A74A98" w:rsidRPr="004717EF" w:rsidRDefault="00A74A98" w:rsidP="00BA696D">
            <w:pPr>
              <w:rPr>
                <w:rFonts w:cs="Times New Roman"/>
                <w:sz w:val="18"/>
                <w:szCs w:val="18"/>
              </w:rPr>
            </w:pPr>
          </w:p>
        </w:tc>
        <w:tc>
          <w:tcPr>
            <w:tcW w:w="1276" w:type="dxa"/>
            <w:vMerge/>
          </w:tcPr>
          <w:p w14:paraId="4DE551BC" w14:textId="77777777" w:rsidR="00A74A98" w:rsidRPr="004717EF" w:rsidRDefault="00A74A98" w:rsidP="00BA696D">
            <w:pPr>
              <w:jc w:val="center"/>
              <w:rPr>
                <w:rFonts w:cs="Times New Roman"/>
                <w:sz w:val="18"/>
                <w:szCs w:val="18"/>
              </w:rPr>
            </w:pPr>
          </w:p>
        </w:tc>
        <w:tc>
          <w:tcPr>
            <w:tcW w:w="1984"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FF0B9C">
        <w:tc>
          <w:tcPr>
            <w:tcW w:w="425" w:type="dxa"/>
            <w:vMerge/>
          </w:tcPr>
          <w:p w14:paraId="6FEB6CD3" w14:textId="77777777" w:rsidR="00A74A98" w:rsidRPr="004717EF" w:rsidRDefault="00A74A98" w:rsidP="00BA696D">
            <w:pPr>
              <w:rPr>
                <w:rFonts w:cs="Times New Roman"/>
                <w:sz w:val="18"/>
                <w:szCs w:val="18"/>
              </w:rPr>
            </w:pPr>
          </w:p>
        </w:tc>
        <w:tc>
          <w:tcPr>
            <w:tcW w:w="1702" w:type="dxa"/>
            <w:vMerge/>
          </w:tcPr>
          <w:p w14:paraId="35BAD84F" w14:textId="77777777" w:rsidR="00A74A98" w:rsidRPr="004717EF" w:rsidRDefault="00A74A98" w:rsidP="00BA696D">
            <w:pPr>
              <w:rPr>
                <w:rFonts w:cs="Times New Roman"/>
                <w:sz w:val="18"/>
                <w:szCs w:val="18"/>
              </w:rPr>
            </w:pPr>
          </w:p>
        </w:tc>
        <w:tc>
          <w:tcPr>
            <w:tcW w:w="1276" w:type="dxa"/>
            <w:vMerge/>
          </w:tcPr>
          <w:p w14:paraId="5C0919B3" w14:textId="77777777" w:rsidR="00A74A98" w:rsidRPr="004717EF" w:rsidRDefault="00A74A98" w:rsidP="00BA696D">
            <w:pPr>
              <w:jc w:val="center"/>
              <w:rPr>
                <w:rFonts w:cs="Times New Roman"/>
                <w:sz w:val="18"/>
                <w:szCs w:val="18"/>
              </w:rPr>
            </w:pPr>
          </w:p>
        </w:tc>
        <w:tc>
          <w:tcPr>
            <w:tcW w:w="1984"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FF0B9C">
        <w:tc>
          <w:tcPr>
            <w:tcW w:w="425" w:type="dxa"/>
            <w:vMerge/>
          </w:tcPr>
          <w:p w14:paraId="7501B863" w14:textId="77777777" w:rsidR="00A74A98" w:rsidRPr="004717EF" w:rsidRDefault="00A74A98" w:rsidP="00BA696D">
            <w:pPr>
              <w:rPr>
                <w:rFonts w:cs="Times New Roman"/>
                <w:sz w:val="18"/>
                <w:szCs w:val="18"/>
              </w:rPr>
            </w:pPr>
          </w:p>
        </w:tc>
        <w:tc>
          <w:tcPr>
            <w:tcW w:w="1702" w:type="dxa"/>
            <w:vMerge/>
          </w:tcPr>
          <w:p w14:paraId="5E0BA819" w14:textId="77777777" w:rsidR="00A74A98" w:rsidRPr="004717EF" w:rsidRDefault="00A74A98" w:rsidP="00BA696D">
            <w:pPr>
              <w:rPr>
                <w:rFonts w:cs="Times New Roman"/>
                <w:sz w:val="18"/>
                <w:szCs w:val="18"/>
              </w:rPr>
            </w:pPr>
          </w:p>
        </w:tc>
        <w:tc>
          <w:tcPr>
            <w:tcW w:w="1276" w:type="dxa"/>
            <w:vMerge/>
          </w:tcPr>
          <w:p w14:paraId="003CA3EC" w14:textId="77777777" w:rsidR="00A74A98" w:rsidRPr="004717EF" w:rsidRDefault="00A74A98" w:rsidP="00BA696D">
            <w:pPr>
              <w:jc w:val="center"/>
              <w:rPr>
                <w:rFonts w:cs="Times New Roman"/>
                <w:sz w:val="18"/>
                <w:szCs w:val="18"/>
              </w:rPr>
            </w:pPr>
          </w:p>
        </w:tc>
        <w:tc>
          <w:tcPr>
            <w:tcW w:w="1984"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FF0B9C">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702"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276"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1984"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FF0B9C">
        <w:trPr>
          <w:trHeight w:val="359"/>
        </w:trPr>
        <w:tc>
          <w:tcPr>
            <w:tcW w:w="425" w:type="dxa"/>
            <w:vMerge/>
          </w:tcPr>
          <w:p w14:paraId="051B0EDF" w14:textId="77777777" w:rsidR="00A74A98" w:rsidRPr="004717EF" w:rsidRDefault="00A74A98" w:rsidP="00BA696D">
            <w:pPr>
              <w:rPr>
                <w:rFonts w:cs="Times New Roman"/>
                <w:sz w:val="18"/>
                <w:szCs w:val="18"/>
              </w:rPr>
            </w:pPr>
          </w:p>
        </w:tc>
        <w:tc>
          <w:tcPr>
            <w:tcW w:w="1702" w:type="dxa"/>
            <w:vMerge/>
          </w:tcPr>
          <w:p w14:paraId="7A1638D5" w14:textId="77777777" w:rsidR="00A74A98" w:rsidRPr="004717EF" w:rsidRDefault="00A74A98" w:rsidP="00BA696D">
            <w:pPr>
              <w:rPr>
                <w:rFonts w:cs="Times New Roman"/>
                <w:sz w:val="18"/>
                <w:szCs w:val="18"/>
              </w:rPr>
            </w:pPr>
          </w:p>
        </w:tc>
        <w:tc>
          <w:tcPr>
            <w:tcW w:w="1276" w:type="dxa"/>
            <w:vMerge/>
          </w:tcPr>
          <w:p w14:paraId="418F2995" w14:textId="77777777" w:rsidR="00A74A98" w:rsidRPr="004717EF" w:rsidRDefault="00A74A98" w:rsidP="00BA696D">
            <w:pPr>
              <w:jc w:val="center"/>
              <w:rPr>
                <w:rFonts w:cs="Times New Roman"/>
                <w:sz w:val="18"/>
                <w:szCs w:val="18"/>
              </w:rPr>
            </w:pPr>
          </w:p>
        </w:tc>
        <w:tc>
          <w:tcPr>
            <w:tcW w:w="1984"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FF0B9C">
        <w:trPr>
          <w:trHeight w:val="118"/>
        </w:trPr>
        <w:tc>
          <w:tcPr>
            <w:tcW w:w="425" w:type="dxa"/>
            <w:vMerge/>
          </w:tcPr>
          <w:p w14:paraId="160C60C2" w14:textId="77777777" w:rsidR="00A74A98" w:rsidRPr="004717EF" w:rsidRDefault="00A74A98" w:rsidP="00BA696D">
            <w:pPr>
              <w:rPr>
                <w:rFonts w:cs="Times New Roman"/>
                <w:sz w:val="18"/>
                <w:szCs w:val="18"/>
              </w:rPr>
            </w:pPr>
          </w:p>
        </w:tc>
        <w:tc>
          <w:tcPr>
            <w:tcW w:w="1702" w:type="dxa"/>
            <w:vMerge/>
          </w:tcPr>
          <w:p w14:paraId="73E8AB1F" w14:textId="77777777" w:rsidR="00A74A98" w:rsidRPr="004717EF" w:rsidRDefault="00A74A98" w:rsidP="00BA696D">
            <w:pPr>
              <w:rPr>
                <w:rFonts w:cs="Times New Roman"/>
                <w:sz w:val="18"/>
                <w:szCs w:val="18"/>
              </w:rPr>
            </w:pPr>
          </w:p>
        </w:tc>
        <w:tc>
          <w:tcPr>
            <w:tcW w:w="1276" w:type="dxa"/>
            <w:vMerge/>
          </w:tcPr>
          <w:p w14:paraId="3FF9AA64" w14:textId="77777777" w:rsidR="00A74A98" w:rsidRPr="004717EF" w:rsidRDefault="00A74A98" w:rsidP="00BA696D">
            <w:pPr>
              <w:jc w:val="center"/>
              <w:rPr>
                <w:rFonts w:cs="Times New Roman"/>
                <w:sz w:val="18"/>
                <w:szCs w:val="18"/>
              </w:rPr>
            </w:pPr>
          </w:p>
        </w:tc>
        <w:tc>
          <w:tcPr>
            <w:tcW w:w="1984"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FF0B9C">
        <w:trPr>
          <w:trHeight w:val="118"/>
        </w:trPr>
        <w:tc>
          <w:tcPr>
            <w:tcW w:w="425" w:type="dxa"/>
            <w:vMerge/>
          </w:tcPr>
          <w:p w14:paraId="3C604302" w14:textId="77777777" w:rsidR="00A74A98" w:rsidRPr="004717EF" w:rsidRDefault="00A74A98" w:rsidP="00BA696D">
            <w:pPr>
              <w:rPr>
                <w:rFonts w:cs="Times New Roman"/>
                <w:sz w:val="18"/>
                <w:szCs w:val="18"/>
              </w:rPr>
            </w:pPr>
          </w:p>
        </w:tc>
        <w:tc>
          <w:tcPr>
            <w:tcW w:w="1702" w:type="dxa"/>
            <w:vMerge/>
          </w:tcPr>
          <w:p w14:paraId="53F782F6" w14:textId="77777777" w:rsidR="00A74A98" w:rsidRPr="004717EF" w:rsidRDefault="00A74A98" w:rsidP="00BA696D">
            <w:pPr>
              <w:rPr>
                <w:rFonts w:cs="Times New Roman"/>
                <w:sz w:val="18"/>
                <w:szCs w:val="18"/>
              </w:rPr>
            </w:pPr>
          </w:p>
        </w:tc>
        <w:tc>
          <w:tcPr>
            <w:tcW w:w="1276" w:type="dxa"/>
            <w:vMerge/>
          </w:tcPr>
          <w:p w14:paraId="5967EC09" w14:textId="77777777" w:rsidR="00A74A98" w:rsidRPr="004717EF" w:rsidRDefault="00A74A98" w:rsidP="00BA696D">
            <w:pPr>
              <w:jc w:val="center"/>
              <w:rPr>
                <w:rFonts w:cs="Times New Roman"/>
                <w:sz w:val="18"/>
                <w:szCs w:val="18"/>
              </w:rPr>
            </w:pPr>
          </w:p>
        </w:tc>
        <w:tc>
          <w:tcPr>
            <w:tcW w:w="1984"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FF0B9C">
        <w:tc>
          <w:tcPr>
            <w:tcW w:w="425" w:type="dxa"/>
            <w:vMerge/>
          </w:tcPr>
          <w:p w14:paraId="20FF007E" w14:textId="77777777" w:rsidR="00A74A98" w:rsidRPr="004717EF" w:rsidRDefault="00A74A98" w:rsidP="00BA696D">
            <w:pPr>
              <w:rPr>
                <w:rFonts w:cs="Times New Roman"/>
                <w:sz w:val="18"/>
                <w:szCs w:val="18"/>
              </w:rPr>
            </w:pPr>
          </w:p>
        </w:tc>
        <w:tc>
          <w:tcPr>
            <w:tcW w:w="1702"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276"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1984"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3"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850"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3544" w:type="dxa"/>
            <w:gridSpan w:val="4"/>
          </w:tcPr>
          <w:p w14:paraId="597E9786" w14:textId="5C8ADCE7" w:rsidR="00A74A98" w:rsidRPr="0096665E" w:rsidRDefault="00A74A98" w:rsidP="00BA696D">
            <w:pPr>
              <w:jc w:val="center"/>
              <w:rPr>
                <w:rFonts w:cs="Times New Roman"/>
                <w:sz w:val="18"/>
                <w:szCs w:val="18"/>
              </w:rPr>
            </w:pPr>
            <w:r w:rsidRPr="0096665E">
              <w:rPr>
                <w:rFonts w:cs="Times New Roman"/>
                <w:sz w:val="18"/>
                <w:szCs w:val="18"/>
              </w:rPr>
              <w:t xml:space="preserve">В том </w:t>
            </w:r>
            <w:proofErr w:type="gramStart"/>
            <w:r w:rsidRPr="0096665E">
              <w:rPr>
                <w:rFonts w:cs="Times New Roman"/>
                <w:sz w:val="18"/>
                <w:szCs w:val="18"/>
              </w:rPr>
              <w:t xml:space="preserve">числе </w:t>
            </w:r>
            <w:r w:rsidR="00FF0B9C">
              <w:rPr>
                <w:rFonts w:cs="Times New Roman"/>
                <w:sz w:val="18"/>
                <w:szCs w:val="18"/>
              </w:rPr>
              <w:t>:</w:t>
            </w:r>
            <w:proofErr w:type="gramEnd"/>
          </w:p>
        </w:tc>
        <w:tc>
          <w:tcPr>
            <w:tcW w:w="992"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851"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850"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851"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417"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FF0B9C">
        <w:tc>
          <w:tcPr>
            <w:tcW w:w="425" w:type="dxa"/>
            <w:vMerge/>
          </w:tcPr>
          <w:p w14:paraId="006E4550" w14:textId="77777777" w:rsidR="00A74A98" w:rsidRPr="004717EF" w:rsidRDefault="00A74A98" w:rsidP="00BA696D">
            <w:pPr>
              <w:rPr>
                <w:rFonts w:cs="Times New Roman"/>
                <w:sz w:val="18"/>
                <w:szCs w:val="18"/>
              </w:rPr>
            </w:pPr>
          </w:p>
        </w:tc>
        <w:tc>
          <w:tcPr>
            <w:tcW w:w="1702" w:type="dxa"/>
            <w:vMerge/>
          </w:tcPr>
          <w:p w14:paraId="2165B2C8" w14:textId="77777777" w:rsidR="00A74A98" w:rsidRPr="0096665E" w:rsidRDefault="00A74A98" w:rsidP="00BA696D">
            <w:pPr>
              <w:rPr>
                <w:rFonts w:cs="Times New Roman"/>
                <w:sz w:val="18"/>
                <w:szCs w:val="18"/>
              </w:rPr>
            </w:pPr>
          </w:p>
        </w:tc>
        <w:tc>
          <w:tcPr>
            <w:tcW w:w="1276" w:type="dxa"/>
            <w:vMerge/>
          </w:tcPr>
          <w:p w14:paraId="55885648" w14:textId="77777777" w:rsidR="00A74A98" w:rsidRPr="0096665E" w:rsidRDefault="00A74A98" w:rsidP="00BA696D">
            <w:pPr>
              <w:jc w:val="center"/>
              <w:rPr>
                <w:rFonts w:cs="Times New Roman"/>
                <w:sz w:val="18"/>
                <w:szCs w:val="18"/>
              </w:rPr>
            </w:pPr>
          </w:p>
        </w:tc>
        <w:tc>
          <w:tcPr>
            <w:tcW w:w="1984"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3"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851" w:type="dxa"/>
          </w:tcPr>
          <w:p w14:paraId="5C8FAC97" w14:textId="77777777"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64EADF72" w14:textId="6A002C6E"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FC74327" w14:textId="43DFB0DC"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218B0B35" w14:textId="6B395AF9"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1CE5F311" w14:textId="38A0D571" w:rsidR="00A74A98"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6E39AE38" w14:textId="0AE9BC0B"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3C1AF437" w14:textId="77777777" w:rsidR="00A74A98"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35DD7C80" w14:textId="4505EC56"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992"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417"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FF0B9C">
        <w:tc>
          <w:tcPr>
            <w:tcW w:w="425" w:type="dxa"/>
            <w:vMerge/>
          </w:tcPr>
          <w:p w14:paraId="3C6AB109" w14:textId="77777777" w:rsidR="00A74A98" w:rsidRPr="004717EF" w:rsidRDefault="00A74A98" w:rsidP="00BA696D">
            <w:pPr>
              <w:rPr>
                <w:rFonts w:cs="Times New Roman"/>
                <w:sz w:val="18"/>
                <w:szCs w:val="18"/>
              </w:rPr>
            </w:pPr>
          </w:p>
        </w:tc>
        <w:tc>
          <w:tcPr>
            <w:tcW w:w="1702" w:type="dxa"/>
            <w:vMerge/>
          </w:tcPr>
          <w:p w14:paraId="64167B63" w14:textId="77777777" w:rsidR="00A74A98" w:rsidRPr="0096665E" w:rsidRDefault="00A74A98" w:rsidP="00BA696D">
            <w:pPr>
              <w:rPr>
                <w:rFonts w:cs="Times New Roman"/>
                <w:sz w:val="18"/>
                <w:szCs w:val="18"/>
              </w:rPr>
            </w:pPr>
          </w:p>
        </w:tc>
        <w:tc>
          <w:tcPr>
            <w:tcW w:w="1276" w:type="dxa"/>
            <w:vMerge/>
          </w:tcPr>
          <w:p w14:paraId="4D886BFE" w14:textId="77777777" w:rsidR="00A74A98" w:rsidRPr="0096665E" w:rsidRDefault="00A74A98" w:rsidP="00BA696D">
            <w:pPr>
              <w:jc w:val="center"/>
              <w:rPr>
                <w:rFonts w:cs="Times New Roman"/>
                <w:sz w:val="18"/>
                <w:szCs w:val="18"/>
              </w:rPr>
            </w:pPr>
          </w:p>
        </w:tc>
        <w:tc>
          <w:tcPr>
            <w:tcW w:w="1984"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3"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417"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FF0B9C">
        <w:tc>
          <w:tcPr>
            <w:tcW w:w="425" w:type="dxa"/>
            <w:vMerge w:val="restart"/>
          </w:tcPr>
          <w:p w14:paraId="302217C9" w14:textId="77777777" w:rsidR="00A74A98" w:rsidRPr="004717EF" w:rsidRDefault="00A74A98" w:rsidP="00BA696D">
            <w:pPr>
              <w:rPr>
                <w:rFonts w:cs="Times New Roman"/>
                <w:sz w:val="18"/>
                <w:szCs w:val="18"/>
              </w:rPr>
            </w:pPr>
          </w:p>
        </w:tc>
        <w:tc>
          <w:tcPr>
            <w:tcW w:w="1702"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276"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1984"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FF0B9C">
        <w:tc>
          <w:tcPr>
            <w:tcW w:w="425" w:type="dxa"/>
            <w:vMerge/>
          </w:tcPr>
          <w:p w14:paraId="2C70C7E0" w14:textId="77777777" w:rsidR="00A74A98" w:rsidRPr="004717EF" w:rsidRDefault="00A74A98" w:rsidP="00BA696D">
            <w:pPr>
              <w:rPr>
                <w:rFonts w:cs="Times New Roman"/>
                <w:sz w:val="18"/>
                <w:szCs w:val="18"/>
              </w:rPr>
            </w:pPr>
          </w:p>
        </w:tc>
        <w:tc>
          <w:tcPr>
            <w:tcW w:w="1702" w:type="dxa"/>
            <w:vMerge/>
          </w:tcPr>
          <w:p w14:paraId="7DB0ACD8" w14:textId="77777777" w:rsidR="00A74A98" w:rsidRPr="004717EF" w:rsidRDefault="00A74A98" w:rsidP="00BA696D">
            <w:pPr>
              <w:rPr>
                <w:rFonts w:cs="Times New Roman"/>
                <w:sz w:val="18"/>
                <w:szCs w:val="18"/>
              </w:rPr>
            </w:pPr>
          </w:p>
        </w:tc>
        <w:tc>
          <w:tcPr>
            <w:tcW w:w="1276" w:type="dxa"/>
            <w:vMerge/>
          </w:tcPr>
          <w:p w14:paraId="7DE3DDD1" w14:textId="77777777" w:rsidR="00A74A98" w:rsidRPr="004717EF" w:rsidRDefault="00A74A98" w:rsidP="00BA696D">
            <w:pPr>
              <w:jc w:val="center"/>
              <w:rPr>
                <w:rFonts w:cs="Times New Roman"/>
                <w:sz w:val="18"/>
                <w:szCs w:val="18"/>
              </w:rPr>
            </w:pPr>
          </w:p>
        </w:tc>
        <w:tc>
          <w:tcPr>
            <w:tcW w:w="1984"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FF0B9C">
        <w:tc>
          <w:tcPr>
            <w:tcW w:w="425" w:type="dxa"/>
            <w:vMerge/>
          </w:tcPr>
          <w:p w14:paraId="4C31D7EB" w14:textId="77777777" w:rsidR="00A74A98" w:rsidRPr="004717EF" w:rsidRDefault="00A74A98" w:rsidP="00BA696D">
            <w:pPr>
              <w:rPr>
                <w:rFonts w:cs="Times New Roman"/>
                <w:sz w:val="18"/>
                <w:szCs w:val="18"/>
              </w:rPr>
            </w:pPr>
          </w:p>
        </w:tc>
        <w:tc>
          <w:tcPr>
            <w:tcW w:w="1702" w:type="dxa"/>
            <w:vMerge/>
          </w:tcPr>
          <w:p w14:paraId="2F352CF6" w14:textId="77777777" w:rsidR="00A74A98" w:rsidRPr="004717EF" w:rsidRDefault="00A74A98" w:rsidP="00BA696D">
            <w:pPr>
              <w:rPr>
                <w:rFonts w:cs="Times New Roman"/>
                <w:sz w:val="18"/>
                <w:szCs w:val="18"/>
              </w:rPr>
            </w:pPr>
          </w:p>
        </w:tc>
        <w:tc>
          <w:tcPr>
            <w:tcW w:w="1276" w:type="dxa"/>
            <w:vMerge/>
          </w:tcPr>
          <w:p w14:paraId="260AA3FF" w14:textId="77777777" w:rsidR="00A74A98" w:rsidRPr="004717EF" w:rsidRDefault="00A74A98" w:rsidP="00BA696D">
            <w:pPr>
              <w:jc w:val="center"/>
              <w:rPr>
                <w:rFonts w:cs="Times New Roman"/>
                <w:sz w:val="18"/>
                <w:szCs w:val="18"/>
              </w:rPr>
            </w:pPr>
          </w:p>
        </w:tc>
        <w:tc>
          <w:tcPr>
            <w:tcW w:w="1984"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FF0B9C">
        <w:tc>
          <w:tcPr>
            <w:tcW w:w="425" w:type="dxa"/>
            <w:vMerge/>
          </w:tcPr>
          <w:p w14:paraId="63495DF5" w14:textId="77777777" w:rsidR="00A74A98" w:rsidRPr="004717EF" w:rsidRDefault="00A74A98" w:rsidP="00BA696D">
            <w:pPr>
              <w:rPr>
                <w:rFonts w:cs="Times New Roman"/>
                <w:sz w:val="18"/>
                <w:szCs w:val="18"/>
              </w:rPr>
            </w:pPr>
          </w:p>
        </w:tc>
        <w:tc>
          <w:tcPr>
            <w:tcW w:w="1702" w:type="dxa"/>
            <w:vMerge/>
          </w:tcPr>
          <w:p w14:paraId="10A676D8" w14:textId="77777777" w:rsidR="00A74A98" w:rsidRPr="004717EF" w:rsidRDefault="00A74A98" w:rsidP="00BA696D">
            <w:pPr>
              <w:rPr>
                <w:rFonts w:cs="Times New Roman"/>
                <w:sz w:val="18"/>
                <w:szCs w:val="18"/>
              </w:rPr>
            </w:pPr>
          </w:p>
        </w:tc>
        <w:tc>
          <w:tcPr>
            <w:tcW w:w="1276" w:type="dxa"/>
            <w:vMerge/>
          </w:tcPr>
          <w:p w14:paraId="5D29F317" w14:textId="77777777" w:rsidR="00A74A98" w:rsidRPr="004717EF" w:rsidRDefault="00A74A98" w:rsidP="00BA696D">
            <w:pPr>
              <w:jc w:val="center"/>
              <w:rPr>
                <w:rFonts w:cs="Times New Roman"/>
                <w:sz w:val="18"/>
                <w:szCs w:val="18"/>
              </w:rPr>
            </w:pPr>
          </w:p>
        </w:tc>
        <w:tc>
          <w:tcPr>
            <w:tcW w:w="1984"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FF0B9C">
        <w:tc>
          <w:tcPr>
            <w:tcW w:w="425" w:type="dxa"/>
            <w:vMerge w:val="restart"/>
          </w:tcPr>
          <w:p w14:paraId="396EE85C" w14:textId="77777777" w:rsidR="00367286" w:rsidRPr="004717EF" w:rsidRDefault="00367286" w:rsidP="00BA696D">
            <w:pPr>
              <w:rPr>
                <w:rFonts w:cs="Times New Roman"/>
                <w:sz w:val="18"/>
                <w:szCs w:val="18"/>
              </w:rPr>
            </w:pPr>
          </w:p>
        </w:tc>
        <w:tc>
          <w:tcPr>
            <w:tcW w:w="1702"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276"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1984"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FF0B9C">
        <w:tc>
          <w:tcPr>
            <w:tcW w:w="425" w:type="dxa"/>
            <w:vMerge/>
          </w:tcPr>
          <w:p w14:paraId="0DFA4167" w14:textId="77777777" w:rsidR="00367286" w:rsidRPr="004717EF" w:rsidRDefault="00367286" w:rsidP="00BA696D">
            <w:pPr>
              <w:rPr>
                <w:rFonts w:cs="Times New Roman"/>
                <w:sz w:val="18"/>
                <w:szCs w:val="18"/>
              </w:rPr>
            </w:pPr>
          </w:p>
        </w:tc>
        <w:tc>
          <w:tcPr>
            <w:tcW w:w="1702" w:type="dxa"/>
            <w:vMerge/>
          </w:tcPr>
          <w:p w14:paraId="54ABCC55" w14:textId="77777777" w:rsidR="00367286" w:rsidRPr="004717EF" w:rsidRDefault="00367286" w:rsidP="00BA696D">
            <w:pPr>
              <w:rPr>
                <w:rFonts w:cs="Times New Roman"/>
                <w:sz w:val="18"/>
                <w:szCs w:val="18"/>
              </w:rPr>
            </w:pPr>
          </w:p>
        </w:tc>
        <w:tc>
          <w:tcPr>
            <w:tcW w:w="1276" w:type="dxa"/>
            <w:vMerge/>
          </w:tcPr>
          <w:p w14:paraId="5DCAB065" w14:textId="77777777" w:rsidR="00367286" w:rsidRPr="004717EF" w:rsidRDefault="00367286" w:rsidP="00BA696D">
            <w:pPr>
              <w:jc w:val="center"/>
              <w:rPr>
                <w:rFonts w:cs="Times New Roman"/>
                <w:sz w:val="18"/>
                <w:szCs w:val="18"/>
              </w:rPr>
            </w:pPr>
          </w:p>
        </w:tc>
        <w:tc>
          <w:tcPr>
            <w:tcW w:w="1984"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FF0B9C">
        <w:tc>
          <w:tcPr>
            <w:tcW w:w="425" w:type="dxa"/>
            <w:vMerge/>
          </w:tcPr>
          <w:p w14:paraId="290C1986" w14:textId="77777777" w:rsidR="00367286" w:rsidRPr="004717EF" w:rsidRDefault="00367286" w:rsidP="00BA696D">
            <w:pPr>
              <w:rPr>
                <w:rFonts w:cs="Times New Roman"/>
                <w:sz w:val="18"/>
                <w:szCs w:val="18"/>
              </w:rPr>
            </w:pPr>
          </w:p>
        </w:tc>
        <w:tc>
          <w:tcPr>
            <w:tcW w:w="1702" w:type="dxa"/>
            <w:vMerge/>
          </w:tcPr>
          <w:p w14:paraId="503BE5D9" w14:textId="77777777" w:rsidR="00367286" w:rsidRPr="004717EF" w:rsidRDefault="00367286" w:rsidP="00BA696D">
            <w:pPr>
              <w:rPr>
                <w:rFonts w:cs="Times New Roman"/>
                <w:sz w:val="18"/>
                <w:szCs w:val="18"/>
              </w:rPr>
            </w:pPr>
          </w:p>
        </w:tc>
        <w:tc>
          <w:tcPr>
            <w:tcW w:w="1276" w:type="dxa"/>
            <w:vMerge/>
          </w:tcPr>
          <w:p w14:paraId="24ED8A34" w14:textId="77777777" w:rsidR="00367286" w:rsidRPr="004717EF" w:rsidRDefault="00367286" w:rsidP="00BA696D">
            <w:pPr>
              <w:jc w:val="center"/>
              <w:rPr>
                <w:rFonts w:cs="Times New Roman"/>
                <w:sz w:val="18"/>
                <w:szCs w:val="18"/>
              </w:rPr>
            </w:pPr>
          </w:p>
        </w:tc>
        <w:tc>
          <w:tcPr>
            <w:tcW w:w="1984"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FF0B9C">
        <w:tc>
          <w:tcPr>
            <w:tcW w:w="425" w:type="dxa"/>
            <w:vMerge/>
          </w:tcPr>
          <w:p w14:paraId="15EF1B03" w14:textId="77777777" w:rsidR="00367286" w:rsidRPr="004717EF" w:rsidRDefault="00367286" w:rsidP="00BA696D">
            <w:pPr>
              <w:rPr>
                <w:rFonts w:cs="Times New Roman"/>
                <w:sz w:val="18"/>
                <w:szCs w:val="18"/>
              </w:rPr>
            </w:pPr>
          </w:p>
        </w:tc>
        <w:tc>
          <w:tcPr>
            <w:tcW w:w="1702" w:type="dxa"/>
            <w:vMerge/>
          </w:tcPr>
          <w:p w14:paraId="10EC0AEC" w14:textId="77777777" w:rsidR="00367286" w:rsidRPr="004717EF" w:rsidRDefault="00367286" w:rsidP="00BA696D">
            <w:pPr>
              <w:rPr>
                <w:rFonts w:cs="Times New Roman"/>
                <w:sz w:val="18"/>
                <w:szCs w:val="18"/>
              </w:rPr>
            </w:pPr>
          </w:p>
        </w:tc>
        <w:tc>
          <w:tcPr>
            <w:tcW w:w="1276" w:type="dxa"/>
            <w:vMerge/>
          </w:tcPr>
          <w:p w14:paraId="4A6BC87D" w14:textId="77777777" w:rsidR="00367286" w:rsidRPr="004717EF" w:rsidRDefault="00367286" w:rsidP="00BA696D">
            <w:pPr>
              <w:jc w:val="center"/>
              <w:rPr>
                <w:rFonts w:cs="Times New Roman"/>
                <w:sz w:val="18"/>
                <w:szCs w:val="18"/>
              </w:rPr>
            </w:pPr>
          </w:p>
        </w:tc>
        <w:tc>
          <w:tcPr>
            <w:tcW w:w="1984"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768"/>
        <w:gridCol w:w="993"/>
        <w:gridCol w:w="850"/>
        <w:gridCol w:w="7"/>
        <w:gridCol w:w="844"/>
        <w:gridCol w:w="992"/>
        <w:gridCol w:w="850"/>
        <w:gridCol w:w="851"/>
        <w:gridCol w:w="850"/>
        <w:gridCol w:w="851"/>
        <w:gridCol w:w="850"/>
        <w:gridCol w:w="851"/>
        <w:gridCol w:w="1351"/>
      </w:tblGrid>
      <w:tr w:rsidR="00A74A98" w:rsidRPr="004717EF" w14:paraId="384C40AD" w14:textId="77777777" w:rsidTr="0095679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768"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796" w:type="dxa"/>
            <w:gridSpan w:val="10"/>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351"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5679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768" w:type="dxa"/>
            <w:vMerge/>
          </w:tcPr>
          <w:p w14:paraId="6A9B5EBC" w14:textId="77777777" w:rsidR="00A74A98" w:rsidRPr="004717EF" w:rsidRDefault="00A74A98" w:rsidP="00BA696D">
            <w:pPr>
              <w:rPr>
                <w:rFonts w:cs="Times New Roman"/>
                <w:sz w:val="18"/>
                <w:szCs w:val="18"/>
              </w:rPr>
            </w:pPr>
          </w:p>
        </w:tc>
        <w:tc>
          <w:tcPr>
            <w:tcW w:w="993" w:type="dxa"/>
            <w:vMerge/>
          </w:tcPr>
          <w:p w14:paraId="658E2F35" w14:textId="77777777" w:rsidR="00A74A98" w:rsidRPr="004717EF" w:rsidRDefault="00A74A98" w:rsidP="00BA696D">
            <w:pPr>
              <w:rPr>
                <w:rFonts w:cs="Times New Roman"/>
                <w:sz w:val="18"/>
                <w:szCs w:val="18"/>
              </w:rPr>
            </w:pPr>
          </w:p>
        </w:tc>
        <w:tc>
          <w:tcPr>
            <w:tcW w:w="4394" w:type="dxa"/>
            <w:gridSpan w:val="6"/>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850"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351"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5679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768"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6"/>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850"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351"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5679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271AFC9" w14:textId="215E4D2E"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E71AE07" w14:textId="204C305C"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5679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768"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2CB4E31" w14:textId="205A9C74"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C8382EB" w14:textId="51605838"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95679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768"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659CB157" w14:textId="1DA36E7B" w:rsidR="00B655F8" w:rsidRPr="00B73957" w:rsidRDefault="00B655F8" w:rsidP="00B655F8">
            <w:pPr>
              <w:jc w:val="center"/>
              <w:rPr>
                <w:sz w:val="18"/>
                <w:szCs w:val="18"/>
              </w:rPr>
            </w:pPr>
            <w:r w:rsidRPr="00B73957">
              <w:rPr>
                <w:sz w:val="18"/>
                <w:szCs w:val="18"/>
              </w:rPr>
              <w:t>0,00</w:t>
            </w:r>
          </w:p>
        </w:tc>
        <w:tc>
          <w:tcPr>
            <w:tcW w:w="4394" w:type="dxa"/>
            <w:gridSpan w:val="6"/>
          </w:tcPr>
          <w:p w14:paraId="474C3F0E" w14:textId="17FAC045" w:rsidR="00B655F8" w:rsidRPr="00B73957" w:rsidRDefault="00B655F8" w:rsidP="00B655F8">
            <w:pPr>
              <w:jc w:val="center"/>
              <w:rPr>
                <w:sz w:val="18"/>
                <w:szCs w:val="18"/>
              </w:rPr>
            </w:pPr>
            <w:r w:rsidRPr="00B73957">
              <w:rPr>
                <w:sz w:val="18"/>
                <w:szCs w:val="18"/>
              </w:rPr>
              <w:t>0,00</w:t>
            </w:r>
          </w:p>
        </w:tc>
        <w:tc>
          <w:tcPr>
            <w:tcW w:w="850"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851"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850"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851"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351"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95679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4B493F13" w14:textId="20730460" w:rsidR="00484405" w:rsidRPr="00B73957" w:rsidRDefault="00484405" w:rsidP="00484405">
            <w:pPr>
              <w:jc w:val="center"/>
              <w:rPr>
                <w:sz w:val="18"/>
                <w:szCs w:val="18"/>
              </w:rPr>
            </w:pPr>
            <w:r w:rsidRPr="00B73957">
              <w:rPr>
                <w:sz w:val="18"/>
                <w:szCs w:val="18"/>
              </w:rPr>
              <w:t>0,00</w:t>
            </w:r>
          </w:p>
        </w:tc>
        <w:tc>
          <w:tcPr>
            <w:tcW w:w="4394" w:type="dxa"/>
            <w:gridSpan w:val="6"/>
          </w:tcPr>
          <w:p w14:paraId="540593CB" w14:textId="1774C189" w:rsidR="00484405" w:rsidRPr="00B73957" w:rsidRDefault="00484405" w:rsidP="00484405">
            <w:pPr>
              <w:jc w:val="center"/>
              <w:rPr>
                <w:sz w:val="18"/>
                <w:szCs w:val="18"/>
              </w:rPr>
            </w:pPr>
            <w:r w:rsidRPr="00B73957">
              <w:rPr>
                <w:sz w:val="18"/>
                <w:szCs w:val="18"/>
              </w:rPr>
              <w:t>0,00</w:t>
            </w:r>
          </w:p>
        </w:tc>
        <w:tc>
          <w:tcPr>
            <w:tcW w:w="850"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95679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768"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102D55D" w14:textId="5999EED0" w:rsidR="00484405" w:rsidRPr="00B73957" w:rsidRDefault="00484405" w:rsidP="00484405">
            <w:pPr>
              <w:jc w:val="center"/>
              <w:rPr>
                <w:sz w:val="18"/>
                <w:szCs w:val="18"/>
              </w:rPr>
            </w:pPr>
            <w:r w:rsidRPr="00B73957">
              <w:rPr>
                <w:sz w:val="18"/>
                <w:szCs w:val="18"/>
              </w:rPr>
              <w:t>0,00</w:t>
            </w:r>
          </w:p>
        </w:tc>
        <w:tc>
          <w:tcPr>
            <w:tcW w:w="4394" w:type="dxa"/>
            <w:gridSpan w:val="6"/>
          </w:tcPr>
          <w:p w14:paraId="54C00EFA" w14:textId="02E4F11D" w:rsidR="00484405" w:rsidRPr="00B73957" w:rsidRDefault="00484405" w:rsidP="00484405">
            <w:pPr>
              <w:jc w:val="center"/>
              <w:rPr>
                <w:sz w:val="18"/>
                <w:szCs w:val="18"/>
              </w:rPr>
            </w:pPr>
            <w:r w:rsidRPr="00B73957">
              <w:rPr>
                <w:sz w:val="18"/>
                <w:szCs w:val="18"/>
              </w:rPr>
              <w:t>0,00</w:t>
            </w:r>
          </w:p>
        </w:tc>
        <w:tc>
          <w:tcPr>
            <w:tcW w:w="850"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95679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768"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54549470" w14:textId="7BA7BCF8" w:rsidR="00E74F9D" w:rsidRPr="00B73957" w:rsidRDefault="00E74F9D" w:rsidP="00E74F9D">
            <w:pPr>
              <w:jc w:val="center"/>
              <w:rPr>
                <w:sz w:val="18"/>
                <w:szCs w:val="18"/>
              </w:rPr>
            </w:pPr>
            <w:r w:rsidRPr="00B73957">
              <w:rPr>
                <w:sz w:val="18"/>
                <w:szCs w:val="18"/>
              </w:rPr>
              <w:t>0,00</w:t>
            </w:r>
          </w:p>
        </w:tc>
        <w:tc>
          <w:tcPr>
            <w:tcW w:w="4394" w:type="dxa"/>
            <w:gridSpan w:val="6"/>
          </w:tcPr>
          <w:p w14:paraId="4BCF81BA" w14:textId="1F37317E" w:rsidR="00E74F9D" w:rsidRPr="00B73957" w:rsidRDefault="00E74F9D" w:rsidP="00E74F9D">
            <w:pPr>
              <w:jc w:val="center"/>
              <w:rPr>
                <w:sz w:val="18"/>
                <w:szCs w:val="18"/>
              </w:rPr>
            </w:pPr>
            <w:r w:rsidRPr="00B73957">
              <w:rPr>
                <w:sz w:val="18"/>
                <w:szCs w:val="18"/>
              </w:rPr>
              <w:t>0,00</w:t>
            </w:r>
          </w:p>
        </w:tc>
        <w:tc>
          <w:tcPr>
            <w:tcW w:w="850"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851"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850"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851"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351"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5679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351C6C13" w14:textId="1A0922FE" w:rsidR="00BA4655" w:rsidRPr="00B73957" w:rsidRDefault="00BA4655" w:rsidP="00BA696D">
            <w:pPr>
              <w:jc w:val="center"/>
              <w:rPr>
                <w:rFonts w:cs="Times New Roman"/>
                <w:sz w:val="18"/>
                <w:szCs w:val="18"/>
              </w:rPr>
            </w:pPr>
            <w:r w:rsidRPr="00B73957">
              <w:rPr>
                <w:rFonts w:cs="Times New Roman"/>
                <w:sz w:val="18"/>
                <w:szCs w:val="18"/>
              </w:rPr>
              <w:t>В том числе</w:t>
            </w:r>
            <w:r w:rsidR="00327C63">
              <w:rPr>
                <w:rFonts w:cs="Times New Roman"/>
                <w:sz w:val="18"/>
                <w:szCs w:val="18"/>
              </w:rPr>
              <w:t>:</w:t>
            </w:r>
          </w:p>
        </w:tc>
        <w:tc>
          <w:tcPr>
            <w:tcW w:w="850"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851"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351"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67F6EE84" w14:textId="77777777" w:rsidTr="0095679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768"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3"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857"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844" w:type="dxa"/>
          </w:tcPr>
          <w:p w14:paraId="1852C217"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274A41F" w14:textId="02EA36D5"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5EA4F3E"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FC8EA91" w14:textId="7E67DF48"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02293169"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79DB8414" w14:textId="26F915E2" w:rsidR="00327C63" w:rsidRPr="00B73957"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506BE5E2"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7566F770" w14:textId="0E69BFBB" w:rsidR="00327C63" w:rsidRPr="00B73957" w:rsidRDefault="00B84D0B"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850"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351"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95679A" w:rsidRPr="00B73957" w14:paraId="5A973CFE" w14:textId="77777777" w:rsidTr="0095679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768"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3"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7"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44" w:type="dxa"/>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95679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768"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D5CE4FD" w14:textId="3CBF91D0"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w:t>
            </w:r>
            <w:r w:rsidR="003A3962" w:rsidRPr="008C06AB">
              <w:rPr>
                <w:sz w:val="18"/>
                <w:szCs w:val="18"/>
              </w:rPr>
              <w:t>,00</w:t>
            </w:r>
          </w:p>
        </w:tc>
        <w:tc>
          <w:tcPr>
            <w:tcW w:w="4394" w:type="dxa"/>
            <w:gridSpan w:val="6"/>
          </w:tcPr>
          <w:p w14:paraId="1FC9C11D" w14:textId="44E56B8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5679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768"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6BEC519" w14:textId="3F986EC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4394" w:type="dxa"/>
            <w:gridSpan w:val="6"/>
          </w:tcPr>
          <w:p w14:paraId="4F9C1E28" w14:textId="1C9E2B51"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5679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768"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4394" w:type="dxa"/>
            <w:gridSpan w:val="6"/>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850"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95679A">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3"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850"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7EB0A82" w14:textId="64B8701F" w:rsidR="003A3962" w:rsidRPr="00B73957" w:rsidRDefault="003A3962" w:rsidP="0095679A">
            <w:pPr>
              <w:jc w:val="center"/>
              <w:rPr>
                <w:rFonts w:cs="Times New Roman"/>
                <w:color w:val="000000"/>
                <w:sz w:val="18"/>
                <w:szCs w:val="18"/>
              </w:rPr>
            </w:pPr>
            <w:r w:rsidRPr="00B73957">
              <w:rPr>
                <w:rFonts w:cs="Times New Roman"/>
                <w:color w:val="000000"/>
                <w:sz w:val="18"/>
                <w:szCs w:val="18"/>
              </w:rPr>
              <w:t>2023</w:t>
            </w:r>
            <w:r w:rsidR="0095679A">
              <w:rPr>
                <w:rFonts w:cs="Times New Roman"/>
                <w:color w:val="000000"/>
                <w:sz w:val="18"/>
                <w:szCs w:val="18"/>
              </w:rPr>
              <w:t xml:space="preserve"> г</w:t>
            </w:r>
            <w:r w:rsidRPr="00B73957">
              <w:rPr>
                <w:rFonts w:cs="Times New Roman"/>
                <w:color w:val="000000"/>
                <w:sz w:val="18"/>
                <w:szCs w:val="18"/>
              </w:rPr>
              <w:t>од</w:t>
            </w:r>
          </w:p>
        </w:tc>
        <w:tc>
          <w:tcPr>
            <w:tcW w:w="3544" w:type="dxa"/>
            <w:gridSpan w:val="5"/>
          </w:tcPr>
          <w:p w14:paraId="42248F9C" w14:textId="0DE999D9"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w:t>
            </w:r>
            <w:r w:rsidR="00327C63">
              <w:rPr>
                <w:rFonts w:cs="Times New Roman"/>
                <w:color w:val="000000"/>
                <w:sz w:val="18"/>
                <w:szCs w:val="18"/>
              </w:rPr>
              <w:t>:</w:t>
            </w:r>
          </w:p>
        </w:tc>
        <w:tc>
          <w:tcPr>
            <w:tcW w:w="850"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851"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850"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851"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351"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714021A7" w14:textId="77777777" w:rsidTr="0095679A">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768"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05BE0A47" w14:textId="77777777" w:rsidR="003A3962" w:rsidRPr="00B73957" w:rsidRDefault="003A3962" w:rsidP="003A3962">
            <w:pPr>
              <w:jc w:val="center"/>
              <w:rPr>
                <w:rFonts w:cs="Times New Roman"/>
                <w:color w:val="000000"/>
                <w:sz w:val="18"/>
                <w:szCs w:val="18"/>
              </w:rPr>
            </w:pPr>
          </w:p>
        </w:tc>
        <w:tc>
          <w:tcPr>
            <w:tcW w:w="850" w:type="dxa"/>
            <w:vMerge/>
          </w:tcPr>
          <w:p w14:paraId="52BA3F22" w14:textId="77777777" w:rsidR="003A3962" w:rsidRPr="00B73957" w:rsidRDefault="003A3962" w:rsidP="003A3962">
            <w:pPr>
              <w:jc w:val="center"/>
              <w:rPr>
                <w:rFonts w:cs="Times New Roman"/>
                <w:color w:val="000000"/>
                <w:sz w:val="18"/>
                <w:szCs w:val="18"/>
              </w:rPr>
            </w:pPr>
          </w:p>
        </w:tc>
        <w:tc>
          <w:tcPr>
            <w:tcW w:w="851" w:type="dxa"/>
            <w:gridSpan w:val="2"/>
          </w:tcPr>
          <w:p w14:paraId="3C4DA930"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4E14E839" w14:textId="6E38674D" w:rsidR="00327C63" w:rsidRPr="00327C63" w:rsidRDefault="00327C63" w:rsidP="003A3962">
            <w:pPr>
              <w:jc w:val="center"/>
              <w:rPr>
                <w:rFonts w:cs="Times New Roman"/>
                <w:color w:val="000000"/>
                <w:sz w:val="18"/>
                <w:szCs w:val="18"/>
              </w:rPr>
            </w:pPr>
            <w:r>
              <w:rPr>
                <w:rFonts w:cs="Times New Roman"/>
                <w:color w:val="000000"/>
                <w:sz w:val="18"/>
                <w:szCs w:val="18"/>
              </w:rPr>
              <w:t>квартал</w:t>
            </w:r>
          </w:p>
        </w:tc>
        <w:tc>
          <w:tcPr>
            <w:tcW w:w="992" w:type="dxa"/>
          </w:tcPr>
          <w:p w14:paraId="346572F8"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131DA9A0" w14:textId="1F0FA2F6" w:rsidR="00327C63" w:rsidRPr="00327C63" w:rsidRDefault="00327C63" w:rsidP="003A3962">
            <w:pPr>
              <w:jc w:val="center"/>
              <w:rPr>
                <w:rFonts w:cs="Times New Roman"/>
                <w:color w:val="000000"/>
                <w:sz w:val="18"/>
                <w:szCs w:val="18"/>
              </w:rPr>
            </w:pPr>
            <w:r>
              <w:rPr>
                <w:rFonts w:cs="Times New Roman"/>
                <w:color w:val="000000"/>
                <w:sz w:val="18"/>
                <w:szCs w:val="18"/>
              </w:rPr>
              <w:t>полугодие</w:t>
            </w:r>
          </w:p>
        </w:tc>
        <w:tc>
          <w:tcPr>
            <w:tcW w:w="850" w:type="dxa"/>
          </w:tcPr>
          <w:p w14:paraId="7FCF1568" w14:textId="77777777" w:rsidR="003A3962" w:rsidRDefault="00327C63" w:rsidP="003A3962">
            <w:pPr>
              <w:jc w:val="center"/>
              <w:rPr>
                <w:rFonts w:cs="Times New Roman"/>
                <w:color w:val="000000"/>
                <w:sz w:val="18"/>
                <w:szCs w:val="18"/>
              </w:rPr>
            </w:pPr>
            <w:r>
              <w:rPr>
                <w:rFonts w:cs="Times New Roman"/>
                <w:color w:val="000000"/>
                <w:sz w:val="18"/>
                <w:szCs w:val="18"/>
              </w:rPr>
              <w:t>9</w:t>
            </w:r>
          </w:p>
          <w:p w14:paraId="74012D92" w14:textId="4137CB2E"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1" w:type="dxa"/>
          </w:tcPr>
          <w:p w14:paraId="5EA782A5" w14:textId="77777777" w:rsidR="003A3962" w:rsidRDefault="00327C63" w:rsidP="003A3962">
            <w:pPr>
              <w:jc w:val="center"/>
              <w:rPr>
                <w:rFonts w:cs="Times New Roman"/>
                <w:color w:val="000000"/>
                <w:sz w:val="18"/>
                <w:szCs w:val="18"/>
              </w:rPr>
            </w:pPr>
            <w:r>
              <w:rPr>
                <w:rFonts w:cs="Times New Roman"/>
                <w:color w:val="000000"/>
                <w:sz w:val="18"/>
                <w:szCs w:val="18"/>
              </w:rPr>
              <w:t>12</w:t>
            </w:r>
          </w:p>
          <w:p w14:paraId="669D0050" w14:textId="589A19AC"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0" w:type="dxa"/>
            <w:vMerge/>
          </w:tcPr>
          <w:p w14:paraId="3021E894" w14:textId="77777777" w:rsidR="003A3962" w:rsidRPr="00B73957" w:rsidRDefault="003A3962" w:rsidP="003A3962">
            <w:pPr>
              <w:jc w:val="center"/>
              <w:rPr>
                <w:rFonts w:cs="Times New Roman"/>
                <w:color w:val="000000"/>
                <w:sz w:val="18"/>
                <w:szCs w:val="18"/>
              </w:rPr>
            </w:pPr>
          </w:p>
        </w:tc>
        <w:tc>
          <w:tcPr>
            <w:tcW w:w="851" w:type="dxa"/>
            <w:vMerge/>
          </w:tcPr>
          <w:p w14:paraId="1FE4330F" w14:textId="77777777" w:rsidR="003A3962" w:rsidRPr="00B73957" w:rsidRDefault="003A3962" w:rsidP="003A3962">
            <w:pPr>
              <w:jc w:val="center"/>
              <w:rPr>
                <w:rFonts w:cs="Times New Roman"/>
                <w:color w:val="000000"/>
                <w:sz w:val="18"/>
                <w:szCs w:val="18"/>
              </w:rPr>
            </w:pPr>
          </w:p>
        </w:tc>
        <w:tc>
          <w:tcPr>
            <w:tcW w:w="850" w:type="dxa"/>
            <w:vMerge/>
          </w:tcPr>
          <w:p w14:paraId="10879042" w14:textId="77777777" w:rsidR="003A3962" w:rsidRPr="00B73957" w:rsidRDefault="003A3962" w:rsidP="003A3962">
            <w:pPr>
              <w:jc w:val="center"/>
              <w:rPr>
                <w:rFonts w:cs="Times New Roman"/>
                <w:color w:val="000000"/>
                <w:sz w:val="18"/>
                <w:szCs w:val="18"/>
              </w:rPr>
            </w:pPr>
          </w:p>
        </w:tc>
        <w:tc>
          <w:tcPr>
            <w:tcW w:w="851" w:type="dxa"/>
            <w:vMerge/>
          </w:tcPr>
          <w:p w14:paraId="3BB5E43B" w14:textId="77777777" w:rsidR="003A3962" w:rsidRPr="00B73957" w:rsidRDefault="003A3962" w:rsidP="003A3962">
            <w:pPr>
              <w:jc w:val="center"/>
              <w:rPr>
                <w:rFonts w:cs="Times New Roman"/>
                <w:color w:val="000000"/>
                <w:sz w:val="18"/>
                <w:szCs w:val="18"/>
              </w:rPr>
            </w:pPr>
          </w:p>
        </w:tc>
        <w:tc>
          <w:tcPr>
            <w:tcW w:w="1351"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95679A" w:rsidRPr="00B73957" w14:paraId="55EEDB97" w14:textId="77777777" w:rsidTr="0095679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768"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351"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95679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95679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768"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55118C88"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95679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768"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851"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850"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851"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5679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lastRenderedPageBreak/>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5679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768"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2D427D34"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5679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768"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851"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850"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851"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5679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6B8E7810" w14:textId="05932E5F" w:rsidR="003A3962" w:rsidRPr="00B73957" w:rsidRDefault="003A3962" w:rsidP="003A3962">
            <w:pPr>
              <w:jc w:val="center"/>
              <w:rPr>
                <w:rFonts w:cs="Times New Roman"/>
                <w:sz w:val="18"/>
                <w:szCs w:val="18"/>
              </w:rPr>
            </w:pPr>
            <w:r w:rsidRPr="00B73957">
              <w:rPr>
                <w:rFonts w:cs="Times New Roman"/>
                <w:sz w:val="18"/>
                <w:szCs w:val="18"/>
              </w:rPr>
              <w:t>В том числе</w:t>
            </w:r>
            <w:r w:rsidR="00F75C64">
              <w:rPr>
                <w:rFonts w:cs="Times New Roman"/>
                <w:sz w:val="18"/>
                <w:szCs w:val="18"/>
              </w:rPr>
              <w:t>:</w:t>
            </w:r>
          </w:p>
        </w:tc>
        <w:tc>
          <w:tcPr>
            <w:tcW w:w="850"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851"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351"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32D4B2E9" w14:textId="77777777" w:rsidTr="0095679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768"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857"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844" w:type="dxa"/>
          </w:tcPr>
          <w:p w14:paraId="566C8F4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A646C43" w14:textId="65261CA0"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31993B8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99A1877" w14:textId="6C06E94E"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567C2984"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9 </w:t>
            </w:r>
          </w:p>
          <w:p w14:paraId="47A95212" w14:textId="3FCE444D"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40C1347E"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45BE5B74" w14:textId="345D6E1A"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850"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351"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95679A" w:rsidRPr="00B73957" w14:paraId="137938B3" w14:textId="77777777" w:rsidTr="0095679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768"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7"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44" w:type="dxa"/>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0"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5679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E1D6ADA" w14:textId="560306BE"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4394" w:type="dxa"/>
            <w:gridSpan w:val="6"/>
          </w:tcPr>
          <w:p w14:paraId="79991199" w14:textId="2C7C7B59"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5679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768"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D967A18" w14:textId="5918662F"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40D6E9DF" w14:textId="15F835E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5679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768"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4CA2727C" w14:textId="5DF6FBF6" w:rsidR="003A3962" w:rsidRPr="0013509B" w:rsidRDefault="003A3962" w:rsidP="003A3962">
            <w:pPr>
              <w:jc w:val="center"/>
              <w:rPr>
                <w:sz w:val="18"/>
                <w:szCs w:val="18"/>
              </w:rPr>
            </w:pPr>
            <w:r w:rsidRPr="0013509B">
              <w:rPr>
                <w:sz w:val="18"/>
                <w:szCs w:val="18"/>
              </w:rPr>
              <w:t>183 083,53</w:t>
            </w:r>
          </w:p>
        </w:tc>
        <w:tc>
          <w:tcPr>
            <w:tcW w:w="4394" w:type="dxa"/>
            <w:gridSpan w:val="6"/>
          </w:tcPr>
          <w:p w14:paraId="0F0ECD6D" w14:textId="3FE7582B" w:rsidR="003A3962" w:rsidRPr="0013509B" w:rsidRDefault="003A3962" w:rsidP="003A3962">
            <w:pPr>
              <w:jc w:val="center"/>
              <w:rPr>
                <w:sz w:val="18"/>
                <w:szCs w:val="18"/>
              </w:rPr>
            </w:pPr>
            <w:r w:rsidRPr="0013509B">
              <w:rPr>
                <w:sz w:val="18"/>
                <w:szCs w:val="18"/>
              </w:rPr>
              <w:t>183 083,53</w:t>
            </w:r>
          </w:p>
        </w:tc>
        <w:tc>
          <w:tcPr>
            <w:tcW w:w="850"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851"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850"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851"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6"/>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5679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11A64014" w14:textId="0EDCA9CC" w:rsidR="003A3962" w:rsidRPr="00674F64" w:rsidRDefault="00E86562" w:rsidP="003A3962">
            <w:pPr>
              <w:jc w:val="center"/>
              <w:rPr>
                <w:rFonts w:cs="Times New Roman"/>
                <w:sz w:val="18"/>
                <w:szCs w:val="18"/>
                <w:highlight w:val="yellow"/>
              </w:rPr>
            </w:pPr>
            <w:r w:rsidRPr="00E86562">
              <w:rPr>
                <w:sz w:val="18"/>
                <w:szCs w:val="18"/>
              </w:rPr>
              <w:t>255</w:t>
            </w:r>
            <w:r>
              <w:rPr>
                <w:sz w:val="18"/>
                <w:szCs w:val="18"/>
              </w:rPr>
              <w:t xml:space="preserve"> </w:t>
            </w:r>
            <w:r w:rsidRPr="00E86562">
              <w:rPr>
                <w:sz w:val="18"/>
                <w:szCs w:val="18"/>
              </w:rPr>
              <w:t>578,7</w:t>
            </w:r>
            <w:r>
              <w:rPr>
                <w:sz w:val="18"/>
                <w:szCs w:val="18"/>
              </w:rPr>
              <w:t>0</w:t>
            </w:r>
          </w:p>
        </w:tc>
        <w:tc>
          <w:tcPr>
            <w:tcW w:w="4394" w:type="dxa"/>
            <w:gridSpan w:val="6"/>
          </w:tcPr>
          <w:p w14:paraId="31F4EF5F" w14:textId="3EB1A294" w:rsidR="003A3962" w:rsidRPr="00674F64" w:rsidRDefault="00E86562"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5679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768"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F1826F7" w14:textId="1FD0127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1C9BA83D" w14:textId="14A7312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5679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768"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B973F57" w14:textId="2ABA8C7D" w:rsidR="003A3962" w:rsidRPr="0013509B" w:rsidRDefault="003A3962" w:rsidP="003A3962">
            <w:pPr>
              <w:jc w:val="center"/>
              <w:rPr>
                <w:sz w:val="18"/>
                <w:szCs w:val="18"/>
              </w:rPr>
            </w:pPr>
            <w:r w:rsidRPr="0013509B">
              <w:rPr>
                <w:sz w:val="18"/>
                <w:szCs w:val="18"/>
              </w:rPr>
              <w:t>183 083,53</w:t>
            </w:r>
          </w:p>
        </w:tc>
        <w:tc>
          <w:tcPr>
            <w:tcW w:w="4394" w:type="dxa"/>
            <w:gridSpan w:val="6"/>
          </w:tcPr>
          <w:p w14:paraId="1465A93A" w14:textId="5ADE4B55" w:rsidR="003A3962" w:rsidRPr="0013509B" w:rsidRDefault="003A3962" w:rsidP="003A3962">
            <w:pPr>
              <w:jc w:val="center"/>
              <w:rPr>
                <w:sz w:val="18"/>
                <w:szCs w:val="18"/>
              </w:rPr>
            </w:pPr>
            <w:r w:rsidRPr="0013509B">
              <w:rPr>
                <w:sz w:val="18"/>
                <w:szCs w:val="18"/>
              </w:rPr>
              <w:t>183 083,53</w:t>
            </w:r>
          </w:p>
        </w:tc>
        <w:tc>
          <w:tcPr>
            <w:tcW w:w="850"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851"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850"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851"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lastRenderedPageBreak/>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sectPr w:rsidR="00A74A98" w:rsidRPr="00B73957"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339E5" w14:textId="77777777" w:rsidR="0063188E" w:rsidRDefault="0063188E" w:rsidP="00DA24D6">
      <w:r>
        <w:separator/>
      </w:r>
    </w:p>
  </w:endnote>
  <w:endnote w:type="continuationSeparator" w:id="0">
    <w:p w14:paraId="156983CF" w14:textId="77777777" w:rsidR="0063188E" w:rsidRDefault="0063188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2EAF" w14:textId="77777777" w:rsidR="0063188E" w:rsidRDefault="0063188E" w:rsidP="00DA24D6">
      <w:r>
        <w:separator/>
      </w:r>
    </w:p>
  </w:footnote>
  <w:footnote w:type="continuationSeparator" w:id="0">
    <w:p w14:paraId="427F6543" w14:textId="77777777" w:rsidR="0063188E" w:rsidRDefault="0063188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E243D1">
          <w:rPr>
            <w:noProof/>
          </w:rPr>
          <w:t>2</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465AA"/>
    <w:rsid w:val="00060191"/>
    <w:rsid w:val="00062A30"/>
    <w:rsid w:val="000630A8"/>
    <w:rsid w:val="00067B44"/>
    <w:rsid w:val="000762C8"/>
    <w:rsid w:val="0007664E"/>
    <w:rsid w:val="000C09A6"/>
    <w:rsid w:val="000E4655"/>
    <w:rsid w:val="000E5E4B"/>
    <w:rsid w:val="000F4FA3"/>
    <w:rsid w:val="00125556"/>
    <w:rsid w:val="0013509B"/>
    <w:rsid w:val="00135D18"/>
    <w:rsid w:val="0017301D"/>
    <w:rsid w:val="001819B0"/>
    <w:rsid w:val="001E749E"/>
    <w:rsid w:val="001F6E4B"/>
    <w:rsid w:val="00212934"/>
    <w:rsid w:val="00251CCB"/>
    <w:rsid w:val="00255AFE"/>
    <w:rsid w:val="00273625"/>
    <w:rsid w:val="00275F87"/>
    <w:rsid w:val="00291116"/>
    <w:rsid w:val="002918CF"/>
    <w:rsid w:val="0029190F"/>
    <w:rsid w:val="002953DC"/>
    <w:rsid w:val="002958DD"/>
    <w:rsid w:val="0029708D"/>
    <w:rsid w:val="002C2ABF"/>
    <w:rsid w:val="002C4E4E"/>
    <w:rsid w:val="002E1EF7"/>
    <w:rsid w:val="002E71E2"/>
    <w:rsid w:val="002E796F"/>
    <w:rsid w:val="00305243"/>
    <w:rsid w:val="00315FB1"/>
    <w:rsid w:val="00327C63"/>
    <w:rsid w:val="00361E27"/>
    <w:rsid w:val="00367286"/>
    <w:rsid w:val="0037273E"/>
    <w:rsid w:val="00372C6E"/>
    <w:rsid w:val="003822A8"/>
    <w:rsid w:val="003A3962"/>
    <w:rsid w:val="003B6483"/>
    <w:rsid w:val="003B6B44"/>
    <w:rsid w:val="003D1E74"/>
    <w:rsid w:val="003F31D4"/>
    <w:rsid w:val="00403261"/>
    <w:rsid w:val="00433483"/>
    <w:rsid w:val="0046095F"/>
    <w:rsid w:val="00481B51"/>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3188E"/>
    <w:rsid w:val="00654D06"/>
    <w:rsid w:val="006644EC"/>
    <w:rsid w:val="00674F64"/>
    <w:rsid w:val="00677F0B"/>
    <w:rsid w:val="006807C7"/>
    <w:rsid w:val="00696F84"/>
    <w:rsid w:val="006B1753"/>
    <w:rsid w:val="006B7F5B"/>
    <w:rsid w:val="006C61CD"/>
    <w:rsid w:val="006D3A0F"/>
    <w:rsid w:val="006F7B9A"/>
    <w:rsid w:val="007059CF"/>
    <w:rsid w:val="0071786F"/>
    <w:rsid w:val="0072220D"/>
    <w:rsid w:val="00730981"/>
    <w:rsid w:val="0073686C"/>
    <w:rsid w:val="00740BBE"/>
    <w:rsid w:val="0075352E"/>
    <w:rsid w:val="00770635"/>
    <w:rsid w:val="00777141"/>
    <w:rsid w:val="0078517D"/>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723D"/>
    <w:rsid w:val="00995BC2"/>
    <w:rsid w:val="009A19A1"/>
    <w:rsid w:val="009A6C7C"/>
    <w:rsid w:val="009B7D9A"/>
    <w:rsid w:val="009C24D5"/>
    <w:rsid w:val="009C4F65"/>
    <w:rsid w:val="009D3D27"/>
    <w:rsid w:val="009D63BE"/>
    <w:rsid w:val="009E223A"/>
    <w:rsid w:val="009E5650"/>
    <w:rsid w:val="009F3D73"/>
    <w:rsid w:val="00A02AF8"/>
    <w:rsid w:val="00A275B8"/>
    <w:rsid w:val="00A37D17"/>
    <w:rsid w:val="00A62906"/>
    <w:rsid w:val="00A645AE"/>
    <w:rsid w:val="00A74A98"/>
    <w:rsid w:val="00A8176C"/>
    <w:rsid w:val="00A90DFA"/>
    <w:rsid w:val="00A94BC8"/>
    <w:rsid w:val="00AA2C4B"/>
    <w:rsid w:val="00AA62BF"/>
    <w:rsid w:val="00AB04A3"/>
    <w:rsid w:val="00AB7F4B"/>
    <w:rsid w:val="00AC4C04"/>
    <w:rsid w:val="00AC4F92"/>
    <w:rsid w:val="00AE41EB"/>
    <w:rsid w:val="00AE689E"/>
    <w:rsid w:val="00AF3362"/>
    <w:rsid w:val="00B22D32"/>
    <w:rsid w:val="00B3149D"/>
    <w:rsid w:val="00B52C91"/>
    <w:rsid w:val="00B655F8"/>
    <w:rsid w:val="00B7001F"/>
    <w:rsid w:val="00B70576"/>
    <w:rsid w:val="00B73957"/>
    <w:rsid w:val="00B74121"/>
    <w:rsid w:val="00B75C77"/>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30434"/>
    <w:rsid w:val="00C43056"/>
    <w:rsid w:val="00C51057"/>
    <w:rsid w:val="00C51C8A"/>
    <w:rsid w:val="00C52DBD"/>
    <w:rsid w:val="00C83531"/>
    <w:rsid w:val="00CA6488"/>
    <w:rsid w:val="00CC48A6"/>
    <w:rsid w:val="00CC672A"/>
    <w:rsid w:val="00CD6426"/>
    <w:rsid w:val="00CE0445"/>
    <w:rsid w:val="00CF3C89"/>
    <w:rsid w:val="00D26DCB"/>
    <w:rsid w:val="00D30F2D"/>
    <w:rsid w:val="00D72706"/>
    <w:rsid w:val="00D84832"/>
    <w:rsid w:val="00D92A18"/>
    <w:rsid w:val="00D9560D"/>
    <w:rsid w:val="00DA0872"/>
    <w:rsid w:val="00DA24D6"/>
    <w:rsid w:val="00DC35E4"/>
    <w:rsid w:val="00E116C2"/>
    <w:rsid w:val="00E22BB9"/>
    <w:rsid w:val="00E243D1"/>
    <w:rsid w:val="00E30A3F"/>
    <w:rsid w:val="00E663AC"/>
    <w:rsid w:val="00E74F9D"/>
    <w:rsid w:val="00E8384A"/>
    <w:rsid w:val="00E86562"/>
    <w:rsid w:val="00EB0892"/>
    <w:rsid w:val="00EE0293"/>
    <w:rsid w:val="00F141DC"/>
    <w:rsid w:val="00F202FA"/>
    <w:rsid w:val="00F233D5"/>
    <w:rsid w:val="00F53D6B"/>
    <w:rsid w:val="00F71CFE"/>
    <w:rsid w:val="00F75C64"/>
    <w:rsid w:val="00F911DE"/>
    <w:rsid w:val="00FA3D97"/>
    <w:rsid w:val="00FC1C14"/>
    <w:rsid w:val="00FC26DE"/>
    <w:rsid w:val="00FC520F"/>
    <w:rsid w:val="00FC62B4"/>
    <w:rsid w:val="00FD1530"/>
    <w:rsid w:val="00FE40DB"/>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A5F44-282F-4672-9487-7BB8C809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4465</Words>
  <Characters>25454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8</cp:revision>
  <cp:lastPrinted>2023-03-23T06:38:00Z</cp:lastPrinted>
  <dcterms:created xsi:type="dcterms:W3CDTF">2023-09-21T11:40:00Z</dcterms:created>
  <dcterms:modified xsi:type="dcterms:W3CDTF">2023-10-13T07:06:00Z</dcterms:modified>
</cp:coreProperties>
</file>