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B85155" w:rsidP="00B85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55">
        <w:rPr>
          <w:rFonts w:ascii="Times New Roman" w:hAnsi="Times New Roman" w:cs="Times New Roman"/>
          <w:b/>
          <w:sz w:val="28"/>
          <w:szCs w:val="28"/>
        </w:rPr>
        <w:t>Антикоррупционные практики обсудили в Евразийском формате</w:t>
      </w:r>
    </w:p>
    <w:p w:rsidR="00B85155" w:rsidRDefault="00B85155" w:rsidP="00B851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Jt9XOaaupcGFwQSgWbb0YJHW7M54X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В Москве прошел ХII Евразийский антикоррупционный форум «Противодействие коррупции: диалектика научного знания». Он был приурочен к 100-летию Института законодательства и сравнительного правоведения при Правительстве РФ.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Работа антикоррупционного ф</w:t>
      </w:r>
      <w:bookmarkStart w:id="0" w:name="_GoBack"/>
      <w:bookmarkEnd w:id="0"/>
      <w:r w:rsidRPr="00B85155">
        <w:rPr>
          <w:rFonts w:ascii="Times New Roman" w:hAnsi="Times New Roman" w:cs="Times New Roman"/>
          <w:sz w:val="24"/>
          <w:szCs w:val="24"/>
        </w:rPr>
        <w:t>орума проходила в режиме секционных заседаний и круглых столов по темам: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«Противодействие коррупции как кросс-отраслевой феномен современной науки и законодательства»;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«Доктрина международного права и противодействие коррупции в свете новых вызовов (к 20-летию Конвенции Организации Объединенных Наций против коррупции 2003 г.)»;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«Конституционно-правовая доктрина и формирование методологии противодействия коррупции»;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«Риск и интерес: диалектика отраслевого познания права в контексте противодействия коррупции»;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 xml:space="preserve">««Противодействие коррупции в социально-культурной сфере в эпоху </w:t>
      </w:r>
      <w:proofErr w:type="spellStart"/>
      <w:r w:rsidRPr="00B85155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B85155">
        <w:rPr>
          <w:rFonts w:ascii="Times New Roman" w:hAnsi="Times New Roman" w:cs="Times New Roman"/>
          <w:sz w:val="24"/>
          <w:szCs w:val="24"/>
        </w:rPr>
        <w:t>»;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«Противодействие коррупции: лучшие практики субъектов Российской Федерации».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 xml:space="preserve">Эксперты оценили практику увольнений в связи с утратой доверия. Оказалось, что чаще всего с этой формулировкой увольняют муниципальных депутатов — более 54 %. При этом почти три четверти утративших доверие (71,57%) — мужчины. Такие данные </w:t>
      </w:r>
      <w:r w:rsidRPr="00B85155">
        <w:rPr>
          <w:rFonts w:ascii="Times New Roman" w:hAnsi="Times New Roman" w:cs="Times New Roman"/>
          <w:sz w:val="24"/>
          <w:szCs w:val="24"/>
        </w:rPr>
        <w:lastRenderedPageBreak/>
        <w:t>привели ученые Института законодательства и сравнительного правоведения при Правительстве РФ.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 xml:space="preserve">Между тем, министерство юстиции РФ провело в 2022 году антикоррупционную экспертизу более 180 тыс. региональных правовых актов и почти 2 тыс. уставов муниципальных образований (и изменяющих их </w:t>
      </w:r>
      <w:proofErr w:type="spellStart"/>
      <w:r w:rsidRPr="00B85155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B85155">
        <w:rPr>
          <w:rFonts w:ascii="Times New Roman" w:hAnsi="Times New Roman" w:cs="Times New Roman"/>
          <w:sz w:val="24"/>
          <w:szCs w:val="24"/>
        </w:rPr>
        <w:t>-правовых актов).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>Заместитель министра труда Андрей Пудов (именно это ведомство отвечает за разработку антикоррупционных стандартов) представил участникам форума обновленный обзор практики привлечения к ответственности проштрафившихся чиновников. В документе уточняется, что следует считать серьезным нарушением, а что малозначительным и ненаказуемым — как, например, отсутствие в декларации сведений о ветхом частном доме, расположенном в среднестатистическом садовом товариществе, или подарке на сумму до 10 тыс. руб.</w:t>
      </w: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sz w:val="24"/>
          <w:szCs w:val="24"/>
        </w:rPr>
      </w:pPr>
      <w:r w:rsidRPr="00B85155">
        <w:rPr>
          <w:rFonts w:ascii="Times New Roman" w:hAnsi="Times New Roman" w:cs="Times New Roman"/>
          <w:sz w:val="24"/>
          <w:szCs w:val="24"/>
        </w:rPr>
        <w:t xml:space="preserve">Также Минтруд разъясняет, что привлечение служащим в ходе проверки адвоката или юриста не может служить подтверждением самого нарушения. А вот наличие пая в инвестиционном фонде, который привлекает иностранные финансовые инструменты, таковым является. Однако за это не нужно увольнять, предупреждает Минтруд, если чиновник вовремя осознал проступок и избавился от доли в таком фонде. Также заместитель министра сообщил, что его ведомство готовит методические рекомендации о том, как декларировать цифровые активы (отчитываться о наличии </w:t>
      </w:r>
      <w:proofErr w:type="spellStart"/>
      <w:r w:rsidRPr="00B85155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B85155">
        <w:rPr>
          <w:rFonts w:ascii="Times New Roman" w:hAnsi="Times New Roman" w:cs="Times New Roman"/>
          <w:sz w:val="24"/>
          <w:szCs w:val="24"/>
        </w:rPr>
        <w:t xml:space="preserve"> чиновники должны с 2021 года).</w:t>
      </w:r>
    </w:p>
    <w:p w:rsidR="00B85155" w:rsidRPr="00B85155" w:rsidRDefault="00B85155" w:rsidP="00B85155">
      <w:pPr>
        <w:rPr>
          <w:rFonts w:ascii="Times New Roman" w:hAnsi="Times New Roman" w:cs="Times New Roman"/>
          <w:b/>
          <w:sz w:val="28"/>
          <w:szCs w:val="28"/>
        </w:rPr>
      </w:pPr>
    </w:p>
    <w:p w:rsidR="00B85155" w:rsidRPr="00B85155" w:rsidRDefault="00B85155" w:rsidP="00B85155">
      <w:pPr>
        <w:rPr>
          <w:rFonts w:ascii="Times New Roman" w:hAnsi="Times New Roman" w:cs="Times New Roman"/>
          <w:b/>
          <w:sz w:val="28"/>
          <w:szCs w:val="28"/>
        </w:rPr>
      </w:pPr>
    </w:p>
    <w:sectPr w:rsidR="00B85155" w:rsidRPr="00B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55"/>
    <w:rsid w:val="00166365"/>
    <w:rsid w:val="00B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AA588-1B42-459A-A52C-CB4AEFE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2023-05-05T09:24:00Z</dcterms:created>
  <dcterms:modified xsi:type="dcterms:W3CDTF">2023-05-05T09:25:00Z</dcterms:modified>
</cp:coreProperties>
</file>