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D68E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>_</w:t>
      </w:r>
      <w:r w:rsidR="000C09A6">
        <w:t>_____</w:t>
      </w:r>
      <w:r w:rsidR="00F26B49" w:rsidRPr="00F26B49">
        <w:rPr>
          <w:u w:val="single"/>
        </w:rPr>
        <w:t>15.11.2023</w:t>
      </w:r>
      <w:r w:rsidR="000C09A6">
        <w:t>___ № __</w:t>
      </w:r>
      <w:r w:rsidR="00F26B49" w:rsidRPr="00F26B49">
        <w:rPr>
          <w:u w:val="single"/>
        </w:rPr>
        <w:t>1526/11</w:t>
      </w:r>
      <w:r w:rsidR="000C09A6"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</w:rPr>
      </w:pPr>
      <w:r w:rsidRPr="003D51D4">
        <w:rPr>
          <w:rFonts w:cs="Times New Roman"/>
        </w:rPr>
        <w:t xml:space="preserve">Об утверждении </w:t>
      </w:r>
      <w:proofErr w:type="gramStart"/>
      <w:r w:rsidRPr="003D51D4">
        <w:rPr>
          <w:rFonts w:cs="Times New Roman"/>
        </w:rPr>
        <w:t>перечня главных администраторов доходов бюджета городского округа</w:t>
      </w:r>
      <w:proofErr w:type="gramEnd"/>
      <w:r w:rsidRPr="003D51D4">
        <w:rPr>
          <w:rFonts w:cs="Times New Roman"/>
        </w:rPr>
        <w:t xml:space="preserve"> Электросталь Московской области</w:t>
      </w:r>
    </w:p>
    <w:p w:rsidR="0098069D" w:rsidRPr="003D51D4" w:rsidRDefault="0098069D" w:rsidP="003D51D4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8069D" w:rsidRPr="00E90660" w:rsidRDefault="0098069D" w:rsidP="0098069D">
      <w:pPr>
        <w:autoSpaceDE w:val="0"/>
        <w:autoSpaceDN w:val="0"/>
        <w:adjustRightInd w:val="0"/>
        <w:jc w:val="center"/>
      </w:pPr>
      <w:r w:rsidRPr="00E90660">
        <w:t>Список изменяющих документов</w:t>
      </w:r>
    </w:p>
    <w:p w:rsidR="0098069D" w:rsidRDefault="0098069D" w:rsidP="00980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F8E">
        <w:rPr>
          <w:rFonts w:ascii="Times New Roman" w:hAnsi="Times New Roman" w:cs="Times New Roman"/>
          <w:sz w:val="24"/>
          <w:szCs w:val="24"/>
        </w:rPr>
        <w:t>(в редакции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F8E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  <w:proofErr w:type="gramEnd"/>
    </w:p>
    <w:p w:rsidR="006A07E2" w:rsidRDefault="0098069D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DE4F8E">
        <w:rPr>
          <w:rFonts w:cs="Times New Roman"/>
        </w:rPr>
        <w:t>городского округа Электросталь Московской области от</w:t>
      </w:r>
      <w:r>
        <w:rPr>
          <w:rFonts w:cs="Times New Roman"/>
        </w:rPr>
        <w:t xml:space="preserve"> </w:t>
      </w:r>
      <w:r w:rsidRPr="00BC184D">
        <w:rPr>
          <w:rFonts w:cs="Times New Roman"/>
          <w:sz w:val="23"/>
          <w:szCs w:val="23"/>
        </w:rPr>
        <w:t>2</w:t>
      </w:r>
      <w:r w:rsidR="00ED68E2">
        <w:rPr>
          <w:rFonts w:cs="Times New Roman"/>
          <w:sz w:val="23"/>
          <w:szCs w:val="23"/>
        </w:rPr>
        <w:t>5</w:t>
      </w:r>
      <w:r w:rsidRPr="00BC184D">
        <w:rPr>
          <w:rFonts w:cs="Times New Roman"/>
          <w:sz w:val="23"/>
          <w:szCs w:val="23"/>
        </w:rPr>
        <w:t>.01.202</w:t>
      </w:r>
      <w:r w:rsidR="00ED68E2">
        <w:rPr>
          <w:rFonts w:cs="Times New Roman"/>
          <w:sz w:val="23"/>
          <w:szCs w:val="23"/>
        </w:rPr>
        <w:t>4</w:t>
      </w:r>
      <w:r w:rsidRPr="00BC184D">
        <w:rPr>
          <w:rFonts w:cs="Times New Roman"/>
          <w:sz w:val="23"/>
          <w:szCs w:val="23"/>
        </w:rPr>
        <w:t xml:space="preserve"> № 0</w:t>
      </w:r>
      <w:r w:rsidR="00ED68E2">
        <w:rPr>
          <w:rFonts w:cs="Times New Roman"/>
          <w:sz w:val="23"/>
          <w:szCs w:val="23"/>
        </w:rPr>
        <w:t>9</w:t>
      </w:r>
      <w:r w:rsidRPr="00BC184D">
        <w:rPr>
          <w:rFonts w:cs="Times New Roman"/>
          <w:sz w:val="23"/>
          <w:szCs w:val="23"/>
        </w:rPr>
        <w:t>/044од</w:t>
      </w:r>
      <w:r w:rsidR="00594681">
        <w:rPr>
          <w:rFonts w:cs="Times New Roman"/>
          <w:sz w:val="23"/>
          <w:szCs w:val="23"/>
        </w:rPr>
        <w:t xml:space="preserve">, </w:t>
      </w:r>
    </w:p>
    <w:p w:rsidR="003D51D4" w:rsidRPr="003D51D4" w:rsidRDefault="00594681" w:rsidP="0098069D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sz w:val="23"/>
          <w:szCs w:val="23"/>
        </w:rPr>
        <w:t>от 05.02.2024 № 11/044од</w:t>
      </w:r>
      <w:r w:rsidR="00755392">
        <w:rPr>
          <w:rFonts w:cs="Times New Roman"/>
          <w:sz w:val="23"/>
          <w:szCs w:val="23"/>
        </w:rPr>
        <w:t>,  от 28.02.2024 № 12/044од</w:t>
      </w:r>
      <w:r w:rsidR="00ED68E2">
        <w:rPr>
          <w:rFonts w:cs="Times New Roman"/>
          <w:sz w:val="23"/>
          <w:szCs w:val="23"/>
        </w:rPr>
        <w:t>)</w:t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gramStart"/>
      <w:r w:rsidRPr="003D51D4">
        <w:rPr>
          <w:rFonts w:cs="Times New Roman"/>
        </w:rPr>
        <w:t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3D51D4">
        <w:rPr>
          <w:rFonts w:cs="Times New Roman"/>
        </w:rPr>
        <w:t xml:space="preserve"> бюджета, </w:t>
      </w:r>
      <w:proofErr w:type="gramStart"/>
      <w:r w:rsidRPr="003D51D4">
        <w:rPr>
          <w:rFonts w:cs="Times New Roman"/>
        </w:rPr>
        <w:t>утвержденными</w:t>
      </w:r>
      <w:proofErr w:type="gramEnd"/>
      <w:r w:rsidRPr="003D51D4">
        <w:rPr>
          <w:rFonts w:cs="Times New Roman"/>
        </w:rPr>
        <w:t xml:space="preserve"> </w:t>
      </w:r>
      <w:hyperlink r:id="rId9" w:history="1">
        <w:r w:rsidRPr="003D51D4">
          <w:rPr>
            <w:rFonts w:cs="Times New Roman"/>
          </w:rPr>
          <w:t>постановлением</w:t>
        </w:r>
      </w:hyperlink>
      <w:r w:rsidRPr="003D51D4">
        <w:rPr>
          <w:rFonts w:cs="Times New Roman"/>
        </w:rPr>
        <w:t xml:space="preserve"> Правительства Российской Федерации от 16.09.2021 № 1569,</w:t>
      </w:r>
      <w:r w:rsidRPr="003D51D4">
        <w:rPr>
          <w:rFonts w:ascii="Arial" w:hAnsi="Arial"/>
        </w:rPr>
        <w:t xml:space="preserve"> </w:t>
      </w:r>
      <w:r w:rsidRPr="003D51D4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1. Утвердить перечень главных администраторов доходов бюджета городского округа Электросталь Московской области (прилагается).</w:t>
      </w:r>
    </w:p>
    <w:p w:rsidR="003D51D4" w:rsidRPr="003D51D4" w:rsidRDefault="003D51D4" w:rsidP="003D51D4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3D51D4">
        <w:rPr>
          <w:rFonts w:cs="Times New Roman"/>
          <w:bCs/>
        </w:rPr>
        <w:t xml:space="preserve">2. </w:t>
      </w:r>
      <w:r w:rsidRPr="003D51D4">
        <w:rPr>
          <w:rFonts w:cs="Times New Roman"/>
        </w:rPr>
        <w:t xml:space="preserve">Опубликовать настоящее постановление в газете «Молва» и </w:t>
      </w:r>
      <w:proofErr w:type="gramStart"/>
      <w:r w:rsidRPr="003D51D4">
        <w:rPr>
          <w:rFonts w:cs="Times New Roman"/>
        </w:rPr>
        <w:t>разместить его</w:t>
      </w:r>
      <w:proofErr w:type="gramEnd"/>
      <w:r w:rsidRPr="003D51D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3D51D4">
          <w:rPr>
            <w:rFonts w:cs="Times New Roman"/>
          </w:rPr>
          <w:t>www.electrostal.ru</w:t>
        </w:r>
      </w:hyperlink>
      <w:r w:rsidRPr="003D51D4">
        <w:rPr>
          <w:rFonts w:cs="Times New Roman"/>
        </w:rPr>
        <w:t>.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городского округа Электросталь Московской области, на 2024 год и на плановый период 2025 и 2026 годов.</w:t>
      </w:r>
    </w:p>
    <w:p w:rsidR="003D51D4" w:rsidRPr="003D51D4" w:rsidRDefault="003D51D4" w:rsidP="003D51D4">
      <w:pPr>
        <w:ind w:firstLine="708"/>
        <w:jc w:val="both"/>
        <w:rPr>
          <w:rFonts w:eastAsia="Calibri" w:cs="Times New Roman"/>
        </w:rPr>
      </w:pPr>
      <w:r w:rsidRPr="003D51D4">
        <w:rPr>
          <w:rFonts w:cs="Times New Roman"/>
          <w:bCs/>
        </w:rPr>
        <w:t>4</w:t>
      </w:r>
      <w:r w:rsidRPr="003D51D4">
        <w:rPr>
          <w:rFonts w:cs="Times New Roman"/>
        </w:rPr>
        <w:t>. </w:t>
      </w:r>
      <w:proofErr w:type="gramStart"/>
      <w:r w:rsidRPr="003D51D4">
        <w:rPr>
          <w:rFonts w:cs="Times New Roman"/>
        </w:rPr>
        <w:t>Контроль за</w:t>
      </w:r>
      <w:proofErr w:type="gramEnd"/>
      <w:r w:rsidRPr="003D51D4">
        <w:rPr>
          <w:rFonts w:cs="Times New Roman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3D51D4">
        <w:rPr>
          <w:rFonts w:cs="Times New Roman"/>
        </w:rPr>
        <w:t>Печникову</w:t>
      </w:r>
      <w:proofErr w:type="spellEnd"/>
      <w:r w:rsidRPr="003D51D4">
        <w:rPr>
          <w:rFonts w:cs="Times New Roman"/>
        </w:rPr>
        <w:t xml:space="preserve"> О.В.</w:t>
      </w: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tbl>
      <w:tblPr>
        <w:tblW w:w="5000" w:type="pct"/>
        <w:tblLook w:val="04A0"/>
      </w:tblPr>
      <w:tblGrid>
        <w:gridCol w:w="4515"/>
        <w:gridCol w:w="5339"/>
      </w:tblGrid>
      <w:tr w:rsidR="003D51D4" w:rsidRPr="003D51D4" w:rsidTr="00D86FCA">
        <w:tc>
          <w:tcPr>
            <w:tcW w:w="229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Глава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И.Ю. Волкова</w:t>
            </w:r>
          </w:p>
        </w:tc>
      </w:tr>
    </w:tbl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98069D">
      <w:pPr>
        <w:spacing w:line="240" w:lineRule="exact"/>
        <w:rPr>
          <w:rFonts w:cs="Times New Roman"/>
        </w:rPr>
      </w:pPr>
      <w:r w:rsidRPr="003D51D4">
        <w:rPr>
          <w:rFonts w:cs="Times New Roman"/>
        </w:rPr>
        <w:br w:type="page"/>
      </w:r>
      <w:r w:rsidR="0098069D">
        <w:rPr>
          <w:rFonts w:cs="Times New Roman"/>
        </w:rPr>
        <w:lastRenderedPageBreak/>
        <w:t xml:space="preserve">                                                                                            </w:t>
      </w:r>
      <w:r w:rsidR="000C57DB">
        <w:rPr>
          <w:rFonts w:cs="Times New Roman"/>
        </w:rPr>
        <w:t xml:space="preserve"> </w:t>
      </w:r>
      <w:r w:rsidR="0098069D">
        <w:rPr>
          <w:rFonts w:cs="Times New Roman"/>
        </w:rPr>
        <w:t xml:space="preserve"> </w:t>
      </w:r>
      <w:r w:rsidRPr="003D51D4">
        <w:rPr>
          <w:rFonts w:cs="Times New Roman"/>
        </w:rPr>
        <w:t xml:space="preserve">УТВЕРЖДЕН </w:t>
      </w: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t xml:space="preserve">постановлением Администрации городского круга Электросталь Московской области </w:t>
      </w:r>
    </w:p>
    <w:p w:rsidR="003D51D4" w:rsidRPr="003D51D4" w:rsidRDefault="003D51D4" w:rsidP="003D51D4">
      <w:pPr>
        <w:spacing w:line="240" w:lineRule="exact"/>
        <w:ind w:left="5664"/>
        <w:rPr>
          <w:u w:val="single"/>
        </w:rPr>
      </w:pPr>
      <w:r w:rsidRPr="003D51D4">
        <w:rPr>
          <w:rFonts w:cs="Times New Roman"/>
        </w:rPr>
        <w:t>от</w:t>
      </w:r>
      <w:r w:rsidRPr="003D51D4">
        <w:rPr>
          <w:rFonts w:cs="Times New Roman"/>
          <w:u w:val="single"/>
        </w:rPr>
        <w:t xml:space="preserve"> </w:t>
      </w:r>
      <w:r w:rsidR="003E0F6F">
        <w:rPr>
          <w:rFonts w:cs="Times New Roman"/>
          <w:u w:val="single"/>
        </w:rPr>
        <w:t xml:space="preserve">          </w:t>
      </w:r>
      <w:r w:rsidR="003E0F6F" w:rsidRPr="003E0F6F">
        <w:rPr>
          <w:rFonts w:cs="Times New Roman"/>
          <w:u w:val="single"/>
        </w:rPr>
        <w:t>15.11.2023___</w:t>
      </w:r>
      <w:r w:rsidR="003E0F6F" w:rsidRPr="003E0F6F">
        <w:rPr>
          <w:rFonts w:cs="Times New Roman"/>
        </w:rPr>
        <w:t xml:space="preserve"> №</w:t>
      </w:r>
      <w:r w:rsidR="003E0F6F" w:rsidRPr="003E0F6F">
        <w:rPr>
          <w:rFonts w:cs="Times New Roman"/>
          <w:u w:val="single"/>
        </w:rPr>
        <w:t xml:space="preserve"> __1526/11</w:t>
      </w:r>
    </w:p>
    <w:p w:rsidR="003D51D4" w:rsidRPr="003D51D4" w:rsidRDefault="000C57DB" w:rsidP="003D51D4">
      <w:pPr>
        <w:ind w:left="5664"/>
        <w:rPr>
          <w:u w:val="single"/>
        </w:rPr>
      </w:pPr>
      <w:r>
        <w:rPr>
          <w:bCs/>
          <w:sz w:val="20"/>
          <w:szCs w:val="20"/>
        </w:rPr>
        <w:t>(</w:t>
      </w:r>
      <w:r w:rsidRPr="00E90660">
        <w:rPr>
          <w:bCs/>
          <w:sz w:val="20"/>
          <w:szCs w:val="20"/>
        </w:rPr>
        <w:t xml:space="preserve">в редакции </w:t>
      </w:r>
      <w:proofErr w:type="gramStart"/>
      <w:r w:rsidRPr="00E90660">
        <w:rPr>
          <w:bCs/>
          <w:sz w:val="20"/>
          <w:szCs w:val="20"/>
        </w:rPr>
        <w:t>приказ</w:t>
      </w:r>
      <w:r>
        <w:rPr>
          <w:bCs/>
          <w:sz w:val="20"/>
          <w:szCs w:val="20"/>
        </w:rPr>
        <w:t>а</w:t>
      </w:r>
      <w:r w:rsidRPr="00E90660">
        <w:rPr>
          <w:bCs/>
          <w:sz w:val="20"/>
          <w:szCs w:val="20"/>
        </w:rPr>
        <w:t xml:space="preserve"> Финансового управления Администрации городского округа</w:t>
      </w:r>
      <w:proofErr w:type="gramEnd"/>
      <w:r w:rsidRPr="00E90660">
        <w:rPr>
          <w:bCs/>
          <w:sz w:val="20"/>
          <w:szCs w:val="20"/>
        </w:rPr>
        <w:t xml:space="preserve"> Электросталь Московской области от</w:t>
      </w:r>
      <w:r>
        <w:rPr>
          <w:bCs/>
          <w:sz w:val="20"/>
          <w:szCs w:val="20"/>
        </w:rPr>
        <w:t xml:space="preserve"> 25.01.2024 № 09/044од,</w:t>
      </w:r>
      <w:r w:rsidR="00722504">
        <w:rPr>
          <w:bCs/>
          <w:sz w:val="20"/>
          <w:szCs w:val="20"/>
        </w:rPr>
        <w:t xml:space="preserve"> </w:t>
      </w:r>
      <w:r w:rsidR="00594681">
        <w:rPr>
          <w:bCs/>
          <w:sz w:val="20"/>
          <w:szCs w:val="20"/>
        </w:rPr>
        <w:t>от 05.02.2024 №11/044од</w:t>
      </w:r>
      <w:r w:rsidR="00755392">
        <w:rPr>
          <w:bCs/>
          <w:sz w:val="20"/>
          <w:szCs w:val="20"/>
        </w:rPr>
        <w:t xml:space="preserve">, </w:t>
      </w:r>
      <w:r w:rsidR="00755392" w:rsidRPr="00755392">
        <w:rPr>
          <w:bCs/>
          <w:sz w:val="20"/>
          <w:szCs w:val="20"/>
        </w:rPr>
        <w:t>от 28.02.2024 № 12/044од</w:t>
      </w:r>
      <w:r w:rsidR="00594681">
        <w:rPr>
          <w:bCs/>
          <w:sz w:val="20"/>
          <w:szCs w:val="20"/>
        </w:rPr>
        <w:t>)</w:t>
      </w:r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  <w:r w:rsidRPr="003D51D4">
        <w:rPr>
          <w:rFonts w:cs="Times New Roman"/>
        </w:rPr>
        <w:t>Перечень главных администраторов доходов бюджета городского округа Электросталь Московской области</w:t>
      </w: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4946" w:type="pct"/>
        <w:tblLayout w:type="fixed"/>
        <w:tblLook w:val="04A0"/>
      </w:tblPr>
      <w:tblGrid>
        <w:gridCol w:w="986"/>
        <w:gridCol w:w="2028"/>
        <w:gridCol w:w="6734"/>
      </w:tblGrid>
      <w:tr w:rsidR="003D51D4" w:rsidRPr="003D51D4" w:rsidTr="00D86FCA">
        <w:trPr>
          <w:trHeight w:val="20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вида (подвида) доходов бюджета</w:t>
            </w:r>
          </w:p>
        </w:tc>
        <w:tc>
          <w:tcPr>
            <w:tcW w:w="3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34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3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001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Администрация городского округа Электросталь Московской области</w:t>
            </w: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10807150011000110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«Управление обеспечения деятельности»)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11301994040001130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«АСС»)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11301994040002130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оформление родственного, почетного, воинского места захоронения, как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11301994040004130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бюджетов городских округов (Плата за услугу по созданию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11302994040004130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«Управление обеспечения деятельности»)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11109044040006120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(плата за использование земель или земельных участков, находящихся в собственности городского округа Электросталь Московской области,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2821B6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755392" w:rsidRDefault="00755392" w:rsidP="00335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755392" w:rsidRDefault="00755392" w:rsidP="007553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755392" w:rsidRDefault="00755392" w:rsidP="00335C0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11607090040003140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11607090040004140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основных средств по указанному имуществу)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оплате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размещение нестационарных торговых объектов)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11610032040001140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 (неосновательное обогащение за размещение нестационарного торгового объекта)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дств с р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11705040040006180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(плата за использование земель или земельных участков, находящихся в собственности Московской области или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физической культуре и спорту Администрации</w:t>
            </w:r>
            <w:r w:rsidRPr="003D51D4">
              <w:rPr>
                <w:rFonts w:cs="Times New Roman"/>
                <w:bCs/>
                <w:color w:val="000000"/>
              </w:rPr>
              <w:br/>
              <w:t>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025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культуре и делам молодежи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lastRenderedPageBreak/>
              <w:t>044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Финансовое управление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опережающей профессиональной подготовки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субъектов Российской Федерации в сфере реабилитации 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20227112040000150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Субсидия бюджетам городских округов на финансовое обеспечение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отдельных полномочий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маломобильных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групп населения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D51D4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в(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инициативного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бюджетирования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ремонта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(на  реализацию мероприятий по благоустройству территорий, прилегающих к железнодорожным станциям)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(благоустройство лесопарковых зон)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коммунальной техники)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 (создание доступной среды в муниципальных учреждениях культуры)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водоснабжения, водоотведения, теплоснабжения)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(устройство систем наружного освещения в рамках реализации проекта «Светлый город»)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аварийного жилищного фонда, признанного таковым после 1 января 2017 года)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территорий муниципальных объектов культуры)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Субвенции бюджетам городских округов на выполнение  передаваемых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полномочий субъектов Российской Федерации (создание комиссий по делам несовершеннолетних и защите их прав муниципальных образований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(организация мероприятий при осуществлении деятельности по обращению с собаками без владельцев)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N 157-ФЗ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«Об иммунопрофилактике инфекционных болезней»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20236900040000150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755392" w:rsidRPr="003D51D4" w:rsidTr="00D23CDE">
        <w:trPr>
          <w:trHeight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</w:t>
            </w:r>
            <w:r w:rsidRPr="003D51D4">
              <w:rPr>
                <w:rFonts w:cs="Times New Roman"/>
                <w:sz w:val="20"/>
                <w:szCs w:val="20"/>
              </w:rPr>
              <w:br/>
              <w:t xml:space="preserve"> в многоквартирном доме)</w:t>
            </w:r>
          </w:p>
        </w:tc>
      </w:tr>
      <w:tr w:rsidR="00755392" w:rsidRPr="003D51D4" w:rsidTr="00D23CDE">
        <w:trPr>
          <w:trHeight w:val="56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D23CDE" w:rsidRDefault="00755392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D23CDE" w:rsidRDefault="00755392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20239999040012150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D23CDE" w:rsidRDefault="00755392" w:rsidP="00D23C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3CDE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 (предоставление жилищного сертификата и единовременной социальной выплаты)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на реализацию отдельных полномочий в области лекарственного обеспечения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работников муниципальных учреждений культуры)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отдельных категорий работников в сферах здравоохранения, культуры)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D421BD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D421BD" w:rsidRDefault="00755392" w:rsidP="00D42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D421BD">
              <w:rPr>
                <w:sz w:val="20"/>
                <w:szCs w:val="20"/>
              </w:rPr>
              <w:t>49999040016150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D421BD" w:rsidRDefault="00755392" w:rsidP="00450E2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21BD">
              <w:rPr>
                <w:rFonts w:ascii="Times New Roman" w:hAnsi="Times New Roman" w:cs="Times New Roman"/>
              </w:rPr>
              <w:t>Прочие межбюджетные трансферты, передаваемые бюджетам  городских округов (финансовое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безвозмездные поступления от негосударственных организаций 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20810000040000150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на стимулирование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55392" w:rsidRPr="003D51D4" w:rsidTr="00D86FCA">
        <w:trPr>
          <w:trHeight w:val="73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045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Контрольно-счётная палата городского</w:t>
            </w:r>
            <w:r w:rsidRPr="003D51D4">
              <w:rPr>
                <w:rFonts w:cs="Times New Roman"/>
                <w:bCs/>
                <w:color w:val="000000"/>
              </w:rPr>
              <w:br/>
              <w:t>округа  Электросталь 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377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Управление городского жилищного и коммунального хозяйства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750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образования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(на государственную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 xml:space="preserve">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3D51D4">
              <w:rPr>
                <w:rFonts w:cs="Times New Roman"/>
                <w:sz w:val="20"/>
                <w:szCs w:val="20"/>
              </w:rPr>
              <w:br/>
              <w:t>содержание имущества и арендную плату за использование помещений)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мультимедийными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(оснащение отремонтированных зданий общеобразовательных организаций средствами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обучения и воспитания)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20229999040039150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20229999040042150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(компенсация проезда к месту учебы и обратно отдельным категориям обучающихся по очной форме обучения муниципальных общеобразовательных организаций)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D51D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 xml:space="preserve">в муниципальных общеобразовательных организациях в Московской области, обеспечение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D51D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755392" w:rsidRPr="003D51D4" w:rsidTr="00B46F86">
        <w:trPr>
          <w:trHeight w:val="269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</w:tr>
      <w:tr w:rsidR="00755392" w:rsidRPr="003D51D4" w:rsidTr="007F278F">
        <w:trPr>
          <w:trHeight w:hRule="exact" w:val="143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B46F86" w:rsidRDefault="00755392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аттестации)</w:t>
            </w:r>
          </w:p>
        </w:tc>
      </w:tr>
      <w:tr w:rsidR="00755392" w:rsidRPr="003D51D4" w:rsidTr="007F278F">
        <w:trPr>
          <w:trHeight w:hRule="exact" w:val="112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B46F86" w:rsidRDefault="00755392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(выплату пособия педагогическим работникам муниципальных дошкольных и общеобразовательных организаций - молодым специалистам: дошкольное образование)</w:t>
            </w:r>
          </w:p>
        </w:tc>
      </w:tr>
      <w:tr w:rsidR="00755392" w:rsidRPr="003D51D4" w:rsidTr="007F278F">
        <w:trPr>
          <w:trHeight w:hRule="exact"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B46F86" w:rsidRDefault="00755392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пособия педагогическим работникам муниципальных дошкольных и общеобразовательных организаций - молодым специалистам: начальное, основное, среднее общее)</w:t>
            </w:r>
          </w:p>
        </w:tc>
      </w:tr>
      <w:tr w:rsidR="00755392" w:rsidRPr="003D51D4" w:rsidTr="00B46F86">
        <w:trPr>
          <w:trHeight w:val="689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B46F86" w:rsidRDefault="00755392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B46F86" w:rsidRDefault="00755392" w:rsidP="00B46F8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технологической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направленностей)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(реализация отдельных мероприятий муниципальных программ в сфере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(материально-техническое обеспечение муниципальных общеобразовательных организаций в Московской области в целях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организации автоматизированной системы учета предоставления питания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обучающимся)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392" w:rsidRPr="000A46FC" w:rsidRDefault="00755392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Российской Федерации</w:t>
            </w:r>
          </w:p>
          <w:p w:rsidR="00755392" w:rsidRPr="000A46FC" w:rsidRDefault="00755392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</w:tc>
      </w:tr>
      <w:tr w:rsidR="00755392" w:rsidRPr="003D51D4" w:rsidTr="00D86FCA">
        <w:trPr>
          <w:trHeight w:val="6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100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Федеральное казначейство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налоговая служба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10501050010000110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55392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10507000010000110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10900000000000000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lastRenderedPageBreak/>
              <w:t>188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124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009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экологии и природопользования 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816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Главное управление содержания территорий 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831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социального развития 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11601053010035140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11601063010023140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11601113019000140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11601123010001140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 xml:space="preserve">судьями, комиссиями по делам несовершеннолетних и защите их прав (штрафы за нарушение </w:t>
            </w:r>
            <w:hyperlink r:id="rId11" w:history="1">
              <w:r w:rsidRPr="003D51D4">
                <w:rPr>
                  <w:rFonts w:cs="Times New Roman"/>
                  <w:sz w:val="20"/>
                  <w:szCs w:val="20"/>
                </w:rPr>
                <w:t>Правил</w:t>
              </w:r>
            </w:hyperlink>
            <w:r w:rsidRPr="003D51D4">
              <w:rPr>
                <w:rFonts w:cs="Times New Roman"/>
                <w:sz w:val="20"/>
                <w:szCs w:val="20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11601183010000140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0A46FC">
        <w:trPr>
          <w:trHeight w:val="68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Комитет по архитектуре и градостроительству</w:t>
            </w:r>
            <w:r w:rsidRPr="003D51D4">
              <w:rPr>
                <w:rFonts w:cs="Times New Roman"/>
                <w:bCs/>
                <w:color w:val="000000"/>
              </w:rPr>
              <w:br/>
              <w:t>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55392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838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обеспечению деятельности мировых судей Московской области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11601053010059140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11601063010008140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11601063010101140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11601083010037140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11601093010022140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11601143010016140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11601143010102140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11601193010005140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11601193010013140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11601203010008140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proofErr w:type="gramEnd"/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55392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5000" w:type="pct"/>
        <w:tblLook w:val="04A0"/>
      </w:tblPr>
      <w:tblGrid>
        <w:gridCol w:w="4929"/>
        <w:gridCol w:w="4925"/>
      </w:tblGrid>
      <w:tr w:rsidR="003D51D4" w:rsidRPr="003D51D4" w:rsidTr="00D86FCA">
        <w:tc>
          <w:tcPr>
            <w:tcW w:w="250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Верно:</w:t>
            </w:r>
          </w:p>
          <w:p w:rsidR="003D51D4" w:rsidRPr="003D51D4" w:rsidRDefault="003850CF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начальник </w:t>
            </w:r>
            <w:r w:rsidR="003D51D4" w:rsidRPr="003D51D4">
              <w:rPr>
                <w:rFonts w:eastAsia="Calibri" w:cs="Times New Roman"/>
                <w:lang w:eastAsia="en-US"/>
              </w:rPr>
              <w:t xml:space="preserve">Финансового управления </w:t>
            </w:r>
          </w:p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249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И.В. </w:t>
            </w:r>
            <w:proofErr w:type="spellStart"/>
            <w:r w:rsidRPr="003D51D4">
              <w:rPr>
                <w:rFonts w:eastAsia="Calibri" w:cs="Times New Roman"/>
                <w:lang w:eastAsia="en-US"/>
              </w:rPr>
              <w:t>Бузурная</w:t>
            </w:r>
            <w:proofErr w:type="spellEnd"/>
          </w:p>
        </w:tc>
      </w:tr>
    </w:tbl>
    <w:p w:rsidR="003D51D4" w:rsidRPr="003D51D4" w:rsidRDefault="003D51D4" w:rsidP="003D51D4">
      <w:pPr>
        <w:jc w:val="center"/>
        <w:rPr>
          <w:rFonts w:cs="Times New Roman"/>
          <w:sz w:val="12"/>
        </w:rPr>
      </w:pPr>
    </w:p>
    <w:sectPr w:rsidR="003D51D4" w:rsidRPr="003D51D4" w:rsidSect="00F2216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86" w:rsidRDefault="00B46F86" w:rsidP="00F22160">
      <w:r>
        <w:separator/>
      </w:r>
    </w:p>
  </w:endnote>
  <w:endnote w:type="continuationSeparator" w:id="0">
    <w:p w:rsidR="00B46F86" w:rsidRDefault="00B46F86" w:rsidP="00F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86" w:rsidRDefault="00B46F86" w:rsidP="00F22160">
      <w:r>
        <w:separator/>
      </w:r>
    </w:p>
  </w:footnote>
  <w:footnote w:type="continuationSeparator" w:id="0">
    <w:p w:rsidR="00B46F86" w:rsidRDefault="00B46F86" w:rsidP="00F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6" w:rsidRDefault="000F13C6">
    <w:pPr>
      <w:pStyle w:val="a7"/>
      <w:jc w:val="center"/>
    </w:pPr>
    <w:fldSimple w:instr=" PAGE   \* MERGEFORMAT ">
      <w:r w:rsidR="00755392">
        <w:rPr>
          <w:noProof/>
        </w:rPr>
        <w:t>2</w:t>
      </w:r>
    </w:fldSimple>
  </w:p>
  <w:p w:rsidR="00B46F86" w:rsidRDefault="00B46F8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0"/>
    <w:multiLevelType w:val="hybridMultilevel"/>
    <w:tmpl w:val="C75C88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0B6685"/>
    <w:multiLevelType w:val="hybridMultilevel"/>
    <w:tmpl w:val="CEF8B82E"/>
    <w:lvl w:ilvl="0" w:tplc="6A70BF4E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A45"/>
    <w:rsid w:val="00067B44"/>
    <w:rsid w:val="000A46FC"/>
    <w:rsid w:val="000C09A6"/>
    <w:rsid w:val="000C57DB"/>
    <w:rsid w:val="000D670C"/>
    <w:rsid w:val="000F13C6"/>
    <w:rsid w:val="000F4FA3"/>
    <w:rsid w:val="00125556"/>
    <w:rsid w:val="00135D18"/>
    <w:rsid w:val="001420D0"/>
    <w:rsid w:val="00251CCB"/>
    <w:rsid w:val="00273625"/>
    <w:rsid w:val="002C2ABF"/>
    <w:rsid w:val="002E796F"/>
    <w:rsid w:val="003850CF"/>
    <w:rsid w:val="003963C8"/>
    <w:rsid w:val="003B6483"/>
    <w:rsid w:val="003B6B44"/>
    <w:rsid w:val="003D51D4"/>
    <w:rsid w:val="003E0F6F"/>
    <w:rsid w:val="003F31D4"/>
    <w:rsid w:val="00403261"/>
    <w:rsid w:val="00453F06"/>
    <w:rsid w:val="00456FBF"/>
    <w:rsid w:val="00491D93"/>
    <w:rsid w:val="004C0E0E"/>
    <w:rsid w:val="004F1750"/>
    <w:rsid w:val="00504369"/>
    <w:rsid w:val="00515EC2"/>
    <w:rsid w:val="0058294C"/>
    <w:rsid w:val="00594681"/>
    <w:rsid w:val="005B5B19"/>
    <w:rsid w:val="005D2F81"/>
    <w:rsid w:val="005E75CE"/>
    <w:rsid w:val="00654D06"/>
    <w:rsid w:val="006A07E2"/>
    <w:rsid w:val="006F7B9A"/>
    <w:rsid w:val="0072220D"/>
    <w:rsid w:val="00722504"/>
    <w:rsid w:val="00755392"/>
    <w:rsid w:val="00770635"/>
    <w:rsid w:val="007F278F"/>
    <w:rsid w:val="007F698B"/>
    <w:rsid w:val="00845208"/>
    <w:rsid w:val="008808E0"/>
    <w:rsid w:val="008855D4"/>
    <w:rsid w:val="00931221"/>
    <w:rsid w:val="0098069D"/>
    <w:rsid w:val="009A19A1"/>
    <w:rsid w:val="009C4F65"/>
    <w:rsid w:val="00A37D17"/>
    <w:rsid w:val="00A8176C"/>
    <w:rsid w:val="00AA2C4B"/>
    <w:rsid w:val="00AC4C04"/>
    <w:rsid w:val="00B2701B"/>
    <w:rsid w:val="00B46F86"/>
    <w:rsid w:val="00B75C77"/>
    <w:rsid w:val="00B867A7"/>
    <w:rsid w:val="00BF6853"/>
    <w:rsid w:val="00C15259"/>
    <w:rsid w:val="00C51C8A"/>
    <w:rsid w:val="00D23CDE"/>
    <w:rsid w:val="00D421BD"/>
    <w:rsid w:val="00D86FCA"/>
    <w:rsid w:val="00DA0872"/>
    <w:rsid w:val="00DC35E4"/>
    <w:rsid w:val="00E22BB9"/>
    <w:rsid w:val="00E54C6B"/>
    <w:rsid w:val="00EB0892"/>
    <w:rsid w:val="00ED68E2"/>
    <w:rsid w:val="00F22160"/>
    <w:rsid w:val="00F26B49"/>
    <w:rsid w:val="00F4432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1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701B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3D51D4"/>
    <w:pPr>
      <w:keepNext/>
      <w:jc w:val="center"/>
      <w:outlineLvl w:val="1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2701B"/>
    <w:pPr>
      <w:ind w:firstLine="720"/>
      <w:jc w:val="both"/>
    </w:pPr>
  </w:style>
  <w:style w:type="paragraph" w:styleId="21">
    <w:name w:val="Body Text Indent 2"/>
    <w:basedOn w:val="a"/>
    <w:rsid w:val="00B270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51D4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3D51D4"/>
  </w:style>
  <w:style w:type="character" w:customStyle="1" w:styleId="10">
    <w:name w:val="Заголовок 1 Знак"/>
    <w:basedOn w:val="a0"/>
    <w:link w:val="1"/>
    <w:rsid w:val="003D51D4"/>
    <w:rPr>
      <w:sz w:val="24"/>
    </w:rPr>
  </w:style>
  <w:style w:type="paragraph" w:customStyle="1" w:styleId="ConsPlusNormal">
    <w:name w:val="ConsPlusNormal"/>
    <w:rsid w:val="003D5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5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5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ystem1">
    <w:name w:val="system1"/>
    <w:rsid w:val="003D51D4"/>
    <w:rPr>
      <w:b w:val="0"/>
      <w:bCs w:val="0"/>
      <w:i w:val="0"/>
      <w:iCs w:val="0"/>
      <w:color w:val="DA8103"/>
    </w:rPr>
  </w:style>
  <w:style w:type="paragraph" w:styleId="a7">
    <w:name w:val="header"/>
    <w:basedOn w:val="a"/>
    <w:link w:val="a8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D51D4"/>
    <w:rPr>
      <w:sz w:val="24"/>
      <w:szCs w:val="24"/>
    </w:rPr>
  </w:style>
  <w:style w:type="paragraph" w:styleId="a9">
    <w:name w:val="footer"/>
    <w:basedOn w:val="a"/>
    <w:link w:val="aa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D51D4"/>
    <w:rPr>
      <w:sz w:val="24"/>
      <w:szCs w:val="24"/>
    </w:rPr>
  </w:style>
  <w:style w:type="character" w:styleId="ab">
    <w:name w:val="page number"/>
    <w:basedOn w:val="a0"/>
    <w:rsid w:val="003D51D4"/>
  </w:style>
  <w:style w:type="paragraph" w:styleId="ac">
    <w:name w:val="Title"/>
    <w:basedOn w:val="a"/>
    <w:link w:val="ad"/>
    <w:qFormat/>
    <w:rsid w:val="003D51D4"/>
    <w:pPr>
      <w:jc w:val="center"/>
    </w:pPr>
    <w:rPr>
      <w:rFonts w:cs="Times New Roman"/>
      <w:b/>
      <w:szCs w:val="20"/>
    </w:rPr>
  </w:style>
  <w:style w:type="character" w:customStyle="1" w:styleId="ad">
    <w:name w:val="Название Знак"/>
    <w:basedOn w:val="a0"/>
    <w:link w:val="ac"/>
    <w:rsid w:val="003D51D4"/>
    <w:rPr>
      <w:b/>
      <w:sz w:val="24"/>
    </w:rPr>
  </w:style>
  <w:style w:type="paragraph" w:styleId="ae">
    <w:name w:val="Block Text"/>
    <w:basedOn w:val="a"/>
    <w:rsid w:val="003D51D4"/>
    <w:pPr>
      <w:ind w:left="851" w:right="5387"/>
      <w:jc w:val="center"/>
    </w:pPr>
    <w:rPr>
      <w:rFonts w:cs="Times New Roman"/>
      <w:b/>
      <w:sz w:val="20"/>
      <w:szCs w:val="20"/>
    </w:rPr>
  </w:style>
  <w:style w:type="character" w:styleId="af">
    <w:name w:val="Hyperlink"/>
    <w:uiPriority w:val="99"/>
    <w:unhideWhenUsed/>
    <w:rsid w:val="003D51D4"/>
    <w:rPr>
      <w:color w:val="0563C1"/>
      <w:u w:val="single"/>
    </w:rPr>
  </w:style>
  <w:style w:type="paragraph" w:styleId="22">
    <w:name w:val="Body Text 2"/>
    <w:basedOn w:val="a"/>
    <w:link w:val="23"/>
    <w:unhideWhenUsed/>
    <w:rsid w:val="003D51D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D51D4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D51D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f0">
    <w:name w:val="Table Grid"/>
    <w:basedOn w:val="a1"/>
    <w:rsid w:val="003D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8">
    <w:name w:val="font8"/>
    <w:basedOn w:val="a"/>
    <w:rsid w:val="003D51D4"/>
    <w:pPr>
      <w:spacing w:before="100" w:beforeAutospacing="1" w:after="100" w:afterAutospacing="1"/>
    </w:pPr>
    <w:rPr>
      <w:rFonts w:cs="Times New Roman"/>
      <w:b/>
      <w:bCs/>
      <w:sz w:val="20"/>
      <w:szCs w:val="20"/>
      <w:u w:val="single"/>
    </w:rPr>
  </w:style>
  <w:style w:type="paragraph" w:customStyle="1" w:styleId="font9">
    <w:name w:val="font9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  <w:u w:val="single"/>
    </w:rPr>
  </w:style>
  <w:style w:type="paragraph" w:customStyle="1" w:styleId="font10">
    <w:name w:val="font10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1">
    <w:name w:val="font11"/>
    <w:basedOn w:val="a"/>
    <w:rsid w:val="003D51D4"/>
    <w:pPr>
      <w:spacing w:before="100" w:beforeAutospacing="1" w:after="100" w:afterAutospacing="1"/>
    </w:pPr>
    <w:rPr>
      <w:rFonts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"/>
    <w:rsid w:val="003D51D4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5">
    <w:name w:val="xl6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0">
    <w:name w:val="xl70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1">
    <w:name w:val="xl7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color w:val="000000"/>
      <w:sz w:val="20"/>
      <w:szCs w:val="20"/>
    </w:rPr>
  </w:style>
  <w:style w:type="paragraph" w:customStyle="1" w:styleId="xl75">
    <w:name w:val="xl7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8">
    <w:name w:val="xl7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color w:val="000000"/>
      <w:sz w:val="20"/>
      <w:szCs w:val="20"/>
    </w:rPr>
  </w:style>
  <w:style w:type="paragraph" w:customStyle="1" w:styleId="xl85">
    <w:name w:val="xl8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87">
    <w:name w:val="xl87"/>
    <w:basedOn w:val="a"/>
    <w:rsid w:val="003D51D4"/>
    <w:pPr>
      <w:shd w:val="clear" w:color="000000" w:fill="FFFFFF"/>
      <w:spacing w:before="100" w:beforeAutospacing="1" w:after="100" w:afterAutospacing="1"/>
      <w:ind w:firstLineChars="1500" w:firstLine="1500"/>
      <w:jc w:val="right"/>
    </w:pPr>
    <w:rPr>
      <w:rFonts w:cs="Times New Roman"/>
      <w:color w:val="000000"/>
      <w:sz w:val="28"/>
      <w:szCs w:val="28"/>
    </w:rPr>
  </w:style>
  <w:style w:type="paragraph" w:customStyle="1" w:styleId="xl88">
    <w:name w:val="xl88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9">
    <w:name w:val="xl89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3D51D4"/>
    <w:pPr>
      <w:spacing w:before="100" w:beforeAutospacing="1" w:after="100" w:afterAutospacing="1"/>
      <w:jc w:val="right"/>
      <w:textAlignment w:val="center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3D51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3D51D4"/>
    <w:pP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7">
    <w:name w:val="xl97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8">
    <w:name w:val="xl98"/>
    <w:basedOn w:val="a"/>
    <w:rsid w:val="003D5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99">
    <w:name w:val="xl9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3D5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1">
    <w:name w:val="xl101"/>
    <w:basedOn w:val="a"/>
    <w:rsid w:val="003D5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3D5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character" w:styleId="af1">
    <w:name w:val="FollowedHyperlink"/>
    <w:uiPriority w:val="99"/>
    <w:unhideWhenUsed/>
    <w:rsid w:val="003D51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9675B62E1A61EA560D4CDC666F29EB806E20942B7FA48A4CC80A8A55F73134CBCC9298428426695AAE690E62C9C1508B1359B7E36ABED6uDl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53CB8-3659-4775-8DC9-8C6957DB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12097</Words>
  <Characters>98958</Characters>
  <Application>Microsoft Office Word</Application>
  <DocSecurity>0</DocSecurity>
  <Lines>824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Орлова Светлана</cp:lastModifiedBy>
  <cp:revision>9</cp:revision>
  <cp:lastPrinted>2023-11-16T11:59:00Z</cp:lastPrinted>
  <dcterms:created xsi:type="dcterms:W3CDTF">2024-01-26T06:38:00Z</dcterms:created>
  <dcterms:modified xsi:type="dcterms:W3CDTF">2024-02-29T08:55:00Z</dcterms:modified>
</cp:coreProperties>
</file>