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ab/>
      </w:r>
      <w:r>
        <w:rPr>
          <w:rFonts w:ascii="Times New Roman" w:hAnsi="Times New Roman"/>
          <w:sz w:val="28"/>
        </w:rPr>
        <w:t>Прокуратура города Электростали Московской области разъясняет.</w:t>
      </w:r>
    </w:p>
    <w:p w14:paraId="02000000">
      <w:pPr>
        <w:spacing w:after="0" w:before="0"/>
        <w:ind w:firstLine="0" w:left="0" w:right="0"/>
        <w:jc w:val="both"/>
        <w:rPr>
          <w:b w:val="0"/>
        </w:rPr>
      </w:pPr>
      <w:r>
        <w:rPr>
          <w:b w:val="0"/>
        </w:rPr>
        <w:t xml:space="preserve"> </w:t>
      </w:r>
    </w:p>
    <w:p w14:paraId="03000000">
      <w:pPr>
        <w:spacing w:after="0" w:before="168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>Рособрнадзор информирует об особенностях проведения государственной итоговой аттестации в 2025 году для граждан, проходивших обучение за рубежом и вынужденных прервать его в связи с недружественными действиями иностранных государств</w:t>
      </w:r>
      <w:r>
        <w:rPr>
          <w:rFonts w:ascii="Times New Roman" w:hAnsi="Times New Roman"/>
          <w:b w:val="0"/>
          <w:sz w:val="28"/>
        </w:rPr>
        <w:t>.</w:t>
      </w:r>
    </w:p>
    <w:p w14:paraId="04000000">
      <w:pPr>
        <w:spacing w:after="120" w:before="120"/>
        <w:ind w:firstLine="0" w:left="120" w:right="120"/>
        <w:rPr>
          <w:rFonts w:ascii="Times New Roman" w:hAnsi="Times New Roman"/>
          <w:sz w:val="28"/>
        </w:rPr>
      </w:pPr>
      <w:r>
        <w:rPr>
          <w:sz w:val="17"/>
        </w:rPr>
        <w:t> </w:t>
      </w:r>
    </w:p>
    <w:tbl>
      <w:tblPr>
        <w:tblStyle w:val="Style_1"/>
        <w:tblW w:type="auto" w:w="0"/>
        <w:tblLayout w:type="fixed"/>
      </w:tblPr>
      <w:tblGrid>
        <w:gridCol w:w="180"/>
        <w:gridCol w:w="9459"/>
      </w:tblGrid>
      <w:tr>
        <w:tc>
          <w:tcPr>
            <w:tcW w:type="dxa" w:w="180"/>
            <w:vAlign w:val="top"/>
          </w:tcPr>
          <w:p w14:paraId="05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drawing>
                <wp:inline>
                  <wp:extent cx="114300" cy="142875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114300" cy="142875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9459"/>
            <w:vAlign w:val="center"/>
          </w:tcPr>
          <w:p w14:paraId="06000000">
            <w:pPr>
              <w:spacing w:after="0" w:before="0"/>
              <w:ind w:firstLine="0" w:left="0" w:right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&lt;</w:t>
            </w:r>
            <w:r>
              <w:rPr>
                <w:rFonts w:ascii="Times New Roman" w:hAnsi="Times New Roman"/>
                <w:strike w:val="0"/>
                <w:color w:val="0000FF"/>
                <w:sz w:val="28"/>
                <w:u w:color="000000" w:val="single"/>
              </w:rPr>
              <w:t>Письмо&gt;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Рособрнадзора от 13.03.2025 N 04-78</w:t>
            </w:r>
            <w:r>
              <w:rPr>
                <w:rFonts w:ascii="Times New Roman" w:hAnsi="Times New Roman"/>
                <w:sz w:val="28"/>
              </w:rPr>
              <w:br/>
            </w:r>
            <w:r>
              <w:rPr>
                <w:rFonts w:ascii="Times New Roman" w:hAnsi="Times New Roman"/>
                <w:sz w:val="28"/>
              </w:rPr>
              <w:t>&lt;О некоторых особенностях проведения государственной итоговой аттестации при завершении освоения образовательных программ основного и среднего общего образования в 2025 году в соответствии с Приказом Минпросвещения России N 78, Рособрнадзора N 238 от 06.02.2025&gt;</w:t>
            </w:r>
          </w:p>
        </w:tc>
      </w:tr>
    </w:tbl>
    <w:p w14:paraId="07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Особенности установлены приказом Минпросвещения и Рособрнадзора от 6 февраля 2025 г. N 78/238, который вступил в силу 10 марта 2025 года.</w:t>
      </w:r>
    </w:p>
    <w:p w14:paraId="08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Они распространяются на две категории граждан:</w:t>
      </w:r>
    </w:p>
    <w:p w14:paraId="09000000">
      <w:pPr>
        <w:numPr>
          <w:numId w:val="1"/>
        </w:numPr>
        <w:spacing w:after="0" w:before="168"/>
        <w:ind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обучающиеся зарубежных образовательных организаций, вынужденные прервать обучение за рубежом и зачисленные в российские школы на обучение начиная с 2021/22 учебного года;</w:t>
      </w:r>
    </w:p>
    <w:p w14:paraId="0A000000">
      <w:pPr>
        <w:numPr>
          <w:numId w:val="2"/>
        </w:numPr>
        <w:spacing w:after="0" w:before="168"/>
        <w:ind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обучающиеся в российских школах и при этом находящиеся в иностранных государствах, прервавшие обучение в связи с невозможностью прибыть в РФ для прохождения Государственной итоговой аттестации-9 или Государственной итоговой аттестации-11 (в том числе проходившие обучение в форме семейного образования или самообразования с применением электронного обучения и дистанционных образовательных технологий).</w:t>
      </w:r>
    </w:p>
    <w:p w14:paraId="0B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Так, обучающиеся обеих категорий вправе по своему выбору пройти Государственную итоговую аттестацию-9/Государственную итоговую аттестацию-11 в формах, установленных Порядком Государственной итоговой аттестации-9 (утв. приказом Минпросвещения N 232, Рособрнадзора N 551 от 04.04.2023), Порядком Государственной итоговой аттестации-11 (утв. приказом Минпросвещения N 233, Рособрнадзора N 552 от 04.04.2023), или в форме промежуточной аттестации, результаты которой также являются основанием для выдачи аттестата об основном общем образовании/аттестата о среднем общем образовании.</w:t>
      </w:r>
    </w:p>
    <w:p w14:paraId="0C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Данная норма распространяется также на обучающихся в российских школах, прервавших обучение в связи с невозможностью прибыть в РФ для прохождения Государственной итоговой аттестации-9/Государственной итоговой аттестации-11, в том числе по причине нахождения в зоне специальной военной операции.</w:t>
      </w:r>
    </w:p>
    <w:p w14:paraId="0D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Отмечено, что для обучающихся, находящихся в иностранных государствах, в связи с невозможностью прибытия на территорию РФ могут быть предусмотрены две схемы участия в итоговом сочинении (изложении):</w:t>
      </w:r>
    </w:p>
    <w:p w14:paraId="0E000000">
      <w:pPr>
        <w:numPr>
          <w:numId w:val="3"/>
        </w:numPr>
        <w:spacing w:after="0" w:before="168"/>
        <w:ind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очно путем взаимодействия исполнительных органов субъектов РФ, осуществляющих государственное управление в сфере образования, с образовательными или иными организациями, расположенными на территории иностранных государств фактического местонахождения обучающихся;</w:t>
      </w:r>
    </w:p>
    <w:p w14:paraId="0F000000">
      <w:pPr>
        <w:numPr>
          <w:numId w:val="4"/>
        </w:numPr>
        <w:spacing w:after="0" w:before="168"/>
        <w:ind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дистанционно с применением информационно-коммуникационных технологий по месту проживания (пребывания) обучающихся, находящихся в иностранных государствах.</w:t>
      </w:r>
    </w:p>
    <w:p w14:paraId="10000000">
      <w:pPr>
        <w:spacing w:after="0" w:before="168"/>
        <w:ind w:firstLine="709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Кроме этого, сообщается, что на официальном сайте Рособрнадзора (http://obrnadzor.gov.ru/ru/) размещен список стран, в которых будет проходить основного государственного экзамена и единого государственного экзамена в 2025 году.</w:t>
      </w:r>
    </w:p>
    <w:p w14:paraId="11000000">
      <w:pPr>
        <w:spacing w:after="0" w:before="0"/>
        <w:ind w:firstLine="0"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 </w:t>
      </w:r>
    </w:p>
    <w:p w14:paraId="12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Помощник прокурора города Шаркова Ольга Викторовна </w:t>
      </w:r>
    </w:p>
    <w:p w14:paraId="13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p w14:paraId="14000000">
      <w:pPr>
        <w:spacing w:after="0" w:line="240" w:lineRule="auto"/>
        <w:ind/>
        <w:jc w:val="right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708" w:gutter="0" w:header="708" w:left="1701" w:right="566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2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abstractNum w:abstractNumId="3">
    <w:lvl w:ilvl="0">
      <w:numFmt w:val="bullet"/>
      <w:lvlText w:val="-"/>
      <w:pPr>
        <w:ind w:hanging="360" w:left="720"/>
      </w:pPr>
      <w:rPr>
        <w:rFonts w:ascii="Calibri" w:hAnsi="Calibri"/>
      </w:rPr>
    </w:lvl>
    <w:lvl w:ilvl="1">
      <w:numFmt w:val="bullet"/>
      <w:lvlText w:val="o"/>
      <w:pPr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ind w:hanging="360" w:left="2160"/>
      </w:pPr>
      <w:rPr>
        <w:rFonts w:ascii="Wingdings" w:hAnsi="Wingdings"/>
      </w:rPr>
    </w:lvl>
    <w:lvl w:ilvl="3">
      <w:numFmt w:val="bullet"/>
      <w:lvlText w:val="-"/>
      <w:pPr>
        <w:ind w:hanging="360" w:left="2880"/>
      </w:pPr>
      <w:rPr>
        <w:rFonts w:ascii="Calibri" w:hAnsi="Calibri"/>
      </w:rPr>
    </w:lvl>
    <w:lvl w:ilvl="4">
      <w:numFmt w:val="bullet"/>
      <w:lvlText w:val="o"/>
      <w:pPr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ind w:hanging="360" w:left="4320"/>
      </w:pPr>
      <w:rPr>
        <w:rFonts w:ascii="Wingdings" w:hAnsi="Wingdings"/>
      </w:rPr>
    </w:lvl>
    <w:lvl w:ilvl="6">
      <w:numFmt w:val="bullet"/>
      <w:lvlText w:val="-"/>
      <w:pPr>
        <w:ind w:hanging="360" w:left="5040"/>
      </w:pPr>
      <w:rPr>
        <w:rFonts w:ascii="Calibri" w:hAnsi="Calibri"/>
      </w:rPr>
    </w:lvl>
    <w:lvl w:ilvl="7">
      <w:numFmt w:val="bullet"/>
      <w:lvlText w:val="o"/>
      <w:pPr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ConsPlusNormal"/>
    <w:link w:val="Style_7_ch"/>
    <w:pPr>
      <w:widowControl w:val="0"/>
      <w:spacing w:after="0" w:line="240" w:lineRule="auto"/>
      <w:ind/>
    </w:pPr>
    <w:rPr>
      <w:rFonts w:ascii="Times New Roman" w:hAnsi="Times New Roman"/>
      <w:sz w:val="24"/>
    </w:rPr>
  </w:style>
  <w:style w:styleId="Style_7_ch" w:type="character">
    <w:name w:val="ConsPlusNormal"/>
    <w:link w:val="Style_7"/>
    <w:rPr>
      <w:rFonts w:ascii="Times New Roman" w:hAnsi="Times New Roman"/>
      <w:sz w:val="24"/>
    </w:rPr>
  </w:style>
  <w:style w:styleId="Style_8" w:type="paragraph">
    <w:name w:val="Default Paragraph Font"/>
    <w:link w:val="Style_8_ch"/>
  </w:style>
  <w:style w:styleId="Style_8_ch" w:type="character">
    <w:name w:val="Default Paragraph Font"/>
    <w:link w:val="Style_8"/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Normal (Web)"/>
    <w:basedOn w:val="Style_2"/>
    <w:link w:val="Style_1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1_ch" w:type="character">
    <w:name w:val="Normal (Web)"/>
    <w:basedOn w:val="Style_2_ch"/>
    <w:link w:val="Style_11"/>
    <w:rPr>
      <w:rFonts w:ascii="Times New Roman" w:hAnsi="Times New Roman"/>
      <w:sz w:val="24"/>
    </w:rPr>
  </w:style>
  <w:style w:styleId="Style_12" w:type="paragraph">
    <w:name w:val="toc 3"/>
    <w:next w:val="Style_2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"/>
    <w:basedOn w:val="Style_2"/>
    <w:link w:val="Style_18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8_ch" w:type="character">
    <w:name w:val="header"/>
    <w:basedOn w:val="Style_2_ch"/>
    <w:link w:val="Style_18"/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8"/>
    </w:rPr>
  </w:style>
  <w:style w:styleId="Style_19_ch" w:type="character">
    <w:name w:val="Header and Footer"/>
    <w:link w:val="Style_19"/>
    <w:rPr>
      <w:rFonts w:ascii="XO Thames" w:hAnsi="XO Thames"/>
      <w:sz w:val="28"/>
    </w:rPr>
  </w:style>
  <w:style w:styleId="Style_20" w:type="paragraph">
    <w:name w:val="toc 9"/>
    <w:next w:val="Style_2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toc 8"/>
    <w:next w:val="Style_2"/>
    <w:link w:val="Style_21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1_ch" w:type="character">
    <w:name w:val="toc 8"/>
    <w:link w:val="Style_21"/>
    <w:rPr>
      <w:rFonts w:ascii="XO Thames" w:hAnsi="XO Thames"/>
      <w:sz w:val="28"/>
    </w:rPr>
  </w:style>
  <w:style w:styleId="Style_22" w:type="paragraph">
    <w:name w:val="toc 5"/>
    <w:next w:val="Style_2"/>
    <w:link w:val="Style_2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2_ch" w:type="character">
    <w:name w:val="toc 5"/>
    <w:link w:val="Style_22"/>
    <w:rPr>
      <w:rFonts w:ascii="XO Thames" w:hAnsi="XO Thames"/>
      <w:sz w:val="28"/>
    </w:rPr>
  </w:style>
  <w:style w:styleId="Style_23" w:type="paragraph">
    <w:name w:val="Subtitle"/>
    <w:next w:val="Style_2"/>
    <w:link w:val="Style_2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3_ch" w:type="character">
    <w:name w:val="Subtitle"/>
    <w:link w:val="Style_23"/>
    <w:rPr>
      <w:rFonts w:ascii="XO Thames" w:hAnsi="XO Thames"/>
      <w:i w:val="1"/>
      <w:sz w:val="24"/>
    </w:rPr>
  </w:style>
  <w:style w:styleId="Style_24" w:type="paragraph">
    <w:name w:val="Title"/>
    <w:next w:val="Style_2"/>
    <w:link w:val="Style_2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4_ch" w:type="character">
    <w:name w:val="Title"/>
    <w:link w:val="Style_24"/>
    <w:rPr>
      <w:rFonts w:ascii="XO Thames" w:hAnsi="XO Thames"/>
      <w:b w:val="1"/>
      <w:caps w:val="1"/>
      <w:sz w:val="40"/>
    </w:rPr>
  </w:style>
  <w:style w:styleId="Style_25" w:type="paragraph">
    <w:name w:val="heading 4"/>
    <w:next w:val="Style_2"/>
    <w:link w:val="Style_2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5_ch" w:type="character">
    <w:name w:val="heading 4"/>
    <w:link w:val="Style_25"/>
    <w:rPr>
      <w:rFonts w:ascii="XO Thames" w:hAnsi="XO Thames"/>
      <w:b w:val="1"/>
      <w:sz w:val="24"/>
    </w:rPr>
  </w:style>
  <w:style w:styleId="Style_26" w:type="paragraph">
    <w:name w:val="heading 2"/>
    <w:next w:val="Style_2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media/1.png" Type="http://schemas.openxmlformats.org/officeDocument/2006/relationships/image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MyOffice-CoreFramework-Linux/31-1176.784.8785.803.1@b7d79ee91c0484ce8e5066dc862bfc403a32edb5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2025-06-17T10:59:12Z</dcterms:modified>
</cp:coreProperties>
</file>