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B2C" w:rsidRPr="005473E2" w:rsidRDefault="00B42B92" w:rsidP="004762DB">
      <w:pPr>
        <w:ind w:right="-2"/>
        <w:jc w:val="right"/>
        <w:rPr>
          <w:b/>
        </w:rPr>
      </w:pPr>
      <w:r w:rsidRPr="00CA1FF1">
        <w:rPr>
          <w:b/>
        </w:rPr>
        <w:t xml:space="preserve"> </w:t>
      </w:r>
      <w:r w:rsidR="004762DB" w:rsidRPr="005473E2">
        <w:rPr>
          <w:b/>
        </w:rPr>
        <w:t>ПРОЕКТ</w:t>
      </w:r>
    </w:p>
    <w:p w:rsidR="004762DB" w:rsidRPr="005473E2" w:rsidRDefault="004762DB" w:rsidP="004C1BE3">
      <w:pPr>
        <w:ind w:right="-2"/>
        <w:jc w:val="center"/>
        <w:rPr>
          <w:b/>
        </w:rPr>
      </w:pPr>
    </w:p>
    <w:p w:rsidR="004762DB" w:rsidRPr="005473E2" w:rsidRDefault="004762DB" w:rsidP="004C1BE3">
      <w:pPr>
        <w:ind w:right="-2"/>
        <w:jc w:val="center"/>
        <w:rPr>
          <w:b/>
        </w:rPr>
      </w:pPr>
      <w:r w:rsidRPr="005473E2">
        <w:rPr>
          <w:noProof/>
        </w:rPr>
        <w:drawing>
          <wp:inline distT="0" distB="0" distL="0" distR="0" wp14:anchorId="7B3491DA" wp14:editId="2ACC4059">
            <wp:extent cx="819150" cy="83820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4C1BE3" w:rsidRPr="005473E2" w:rsidRDefault="004C1BE3" w:rsidP="00652B2C">
      <w:pPr>
        <w:ind w:right="-2"/>
        <w:jc w:val="center"/>
        <w:rPr>
          <w:b/>
          <w:sz w:val="28"/>
        </w:rPr>
      </w:pPr>
    </w:p>
    <w:p w:rsidR="00652B2C" w:rsidRPr="005473E2" w:rsidRDefault="00652B2C" w:rsidP="003B6DBF">
      <w:pPr>
        <w:shd w:val="clear" w:color="auto" w:fill="FFFFFF" w:themeFill="background1"/>
        <w:ind w:right="-2"/>
        <w:jc w:val="center"/>
        <w:rPr>
          <w:b/>
          <w:sz w:val="28"/>
        </w:rPr>
      </w:pPr>
      <w:proofErr w:type="gramStart"/>
      <w:r w:rsidRPr="005473E2">
        <w:rPr>
          <w:b/>
          <w:sz w:val="28"/>
        </w:rPr>
        <w:t>АДМИНИСТРАЦИЯ  ГОРОДСКОГО</w:t>
      </w:r>
      <w:proofErr w:type="gramEnd"/>
      <w:r w:rsidRPr="005473E2">
        <w:rPr>
          <w:b/>
          <w:sz w:val="28"/>
        </w:rPr>
        <w:t xml:space="preserve"> ОКРУГА ЭЛЕКТРОСТАЛЬ</w:t>
      </w:r>
    </w:p>
    <w:p w:rsidR="00652B2C" w:rsidRPr="005473E2" w:rsidRDefault="00652B2C" w:rsidP="003B6DBF">
      <w:pPr>
        <w:shd w:val="clear" w:color="auto" w:fill="FFFFFF" w:themeFill="background1"/>
        <w:ind w:right="-2"/>
        <w:jc w:val="center"/>
        <w:rPr>
          <w:b/>
          <w:sz w:val="12"/>
          <w:szCs w:val="12"/>
        </w:rPr>
      </w:pPr>
    </w:p>
    <w:p w:rsidR="00652B2C" w:rsidRPr="005473E2" w:rsidRDefault="00652B2C" w:rsidP="003B6DBF">
      <w:pPr>
        <w:shd w:val="clear" w:color="auto" w:fill="FFFFFF" w:themeFill="background1"/>
        <w:ind w:right="-2"/>
        <w:jc w:val="center"/>
        <w:rPr>
          <w:b/>
          <w:sz w:val="28"/>
        </w:rPr>
      </w:pPr>
      <w:r w:rsidRPr="005473E2">
        <w:rPr>
          <w:b/>
          <w:sz w:val="28"/>
        </w:rPr>
        <w:t>МОСКОВСКОЙ   ОБЛАСТИ</w:t>
      </w:r>
    </w:p>
    <w:p w:rsidR="00652B2C" w:rsidRPr="005473E2" w:rsidRDefault="00652B2C" w:rsidP="003B6DBF">
      <w:pPr>
        <w:shd w:val="clear" w:color="auto" w:fill="FFFFFF" w:themeFill="background1"/>
        <w:ind w:right="-2" w:firstLine="1701"/>
        <w:jc w:val="center"/>
        <w:rPr>
          <w:sz w:val="16"/>
          <w:szCs w:val="16"/>
        </w:rPr>
      </w:pPr>
    </w:p>
    <w:p w:rsidR="00652B2C" w:rsidRPr="005473E2" w:rsidRDefault="00652B2C" w:rsidP="003B6DBF">
      <w:pPr>
        <w:shd w:val="clear" w:color="auto" w:fill="FFFFFF" w:themeFill="background1"/>
        <w:ind w:right="-2"/>
        <w:jc w:val="center"/>
        <w:rPr>
          <w:b/>
          <w:sz w:val="44"/>
        </w:rPr>
      </w:pPr>
      <w:r w:rsidRPr="005473E2">
        <w:rPr>
          <w:b/>
          <w:sz w:val="44"/>
        </w:rPr>
        <w:t>ПОСТАНОВЛЕНИЕ</w:t>
      </w:r>
    </w:p>
    <w:p w:rsidR="00652B2C" w:rsidRPr="005473E2" w:rsidRDefault="00652B2C" w:rsidP="00652B2C">
      <w:pPr>
        <w:ind w:right="-2"/>
        <w:jc w:val="center"/>
        <w:rPr>
          <w:b/>
        </w:rPr>
      </w:pPr>
    </w:p>
    <w:p w:rsidR="00652B2C" w:rsidRPr="005473E2" w:rsidRDefault="00652B2C" w:rsidP="00652B2C">
      <w:pPr>
        <w:ind w:right="-2"/>
        <w:jc w:val="center"/>
        <w:rPr>
          <w:b/>
        </w:rPr>
      </w:pPr>
    </w:p>
    <w:p w:rsidR="00652B2C" w:rsidRPr="005473E2" w:rsidRDefault="00652B2C" w:rsidP="00652B2C">
      <w:pPr>
        <w:ind w:right="-2"/>
        <w:jc w:val="center"/>
        <w:outlineLvl w:val="0"/>
      </w:pPr>
      <w:r w:rsidRPr="005473E2">
        <w:t xml:space="preserve"> </w:t>
      </w:r>
      <w:r w:rsidR="00CC0F2D" w:rsidRPr="005473E2">
        <w:rPr>
          <w:u w:val="single"/>
        </w:rPr>
        <w:t xml:space="preserve">                         </w:t>
      </w:r>
      <w:r w:rsidR="00E6649D" w:rsidRPr="005473E2">
        <w:rPr>
          <w:u w:val="single"/>
        </w:rPr>
        <w:t xml:space="preserve"> </w:t>
      </w:r>
      <w:r w:rsidRPr="005473E2">
        <w:t xml:space="preserve">№ </w:t>
      </w:r>
      <w:r w:rsidR="00CC0F2D" w:rsidRPr="005473E2">
        <w:rPr>
          <w:u w:val="single"/>
        </w:rPr>
        <w:t xml:space="preserve">             </w:t>
      </w:r>
      <w:r w:rsidR="003D68C2" w:rsidRPr="005473E2">
        <w:rPr>
          <w:u w:val="single"/>
        </w:rPr>
        <w:t xml:space="preserve"> </w:t>
      </w:r>
      <w:r w:rsidR="009A471B" w:rsidRPr="005473E2">
        <w:rPr>
          <w:u w:val="single"/>
        </w:rPr>
        <w:t xml:space="preserve">. </w:t>
      </w:r>
    </w:p>
    <w:p w:rsidR="001C5AD2" w:rsidRPr="005473E2" w:rsidRDefault="001C5AD2" w:rsidP="00652B2C">
      <w:pPr>
        <w:outlineLvl w:val="0"/>
      </w:pPr>
    </w:p>
    <w:p w:rsidR="00842C78" w:rsidRPr="005473E2" w:rsidRDefault="00652B2C" w:rsidP="004746BB">
      <w:pPr>
        <w:spacing w:line="240" w:lineRule="exact"/>
        <w:rPr>
          <w:rFonts w:cs="Times New Roman"/>
        </w:rPr>
      </w:pPr>
      <w:r w:rsidRPr="005473E2">
        <w:tab/>
      </w:r>
      <w:r w:rsidRPr="005473E2">
        <w:tab/>
      </w:r>
      <w:r w:rsidRPr="005473E2">
        <w:tab/>
      </w:r>
      <w:r w:rsidR="00842C78" w:rsidRPr="005473E2">
        <w:rPr>
          <w:rFonts w:cs="Times New Roman"/>
        </w:rPr>
        <w:t xml:space="preserve">О прогнозе социально-экономического развития </w:t>
      </w:r>
    </w:p>
    <w:p w:rsidR="00842C78" w:rsidRPr="005473E2" w:rsidRDefault="00842C78" w:rsidP="00842C78">
      <w:pPr>
        <w:spacing w:line="240" w:lineRule="exact"/>
        <w:jc w:val="center"/>
        <w:rPr>
          <w:rFonts w:cs="Times New Roman"/>
        </w:rPr>
      </w:pPr>
      <w:r w:rsidRPr="005473E2">
        <w:rPr>
          <w:rFonts w:cs="Times New Roman"/>
        </w:rPr>
        <w:t>городского округа Электросталь Московской области на 202</w:t>
      </w:r>
      <w:r w:rsidR="00CC0F2D" w:rsidRPr="005473E2">
        <w:rPr>
          <w:rFonts w:cs="Times New Roman"/>
        </w:rPr>
        <w:t>4</w:t>
      </w:r>
      <w:r w:rsidRPr="005473E2">
        <w:rPr>
          <w:rFonts w:cs="Times New Roman"/>
        </w:rPr>
        <w:t>-202</w:t>
      </w:r>
      <w:r w:rsidR="00CC0F2D" w:rsidRPr="005473E2">
        <w:rPr>
          <w:rFonts w:cs="Times New Roman"/>
        </w:rPr>
        <w:t>6</w:t>
      </w:r>
      <w:r w:rsidRPr="005473E2">
        <w:rPr>
          <w:rFonts w:cs="Times New Roman"/>
        </w:rPr>
        <w:t xml:space="preserve"> годы</w:t>
      </w:r>
    </w:p>
    <w:p w:rsidR="00842C78" w:rsidRPr="005473E2" w:rsidRDefault="00842C78" w:rsidP="00842C78">
      <w:pPr>
        <w:tabs>
          <w:tab w:val="center" w:pos="4677"/>
        </w:tabs>
        <w:ind w:firstLine="540"/>
        <w:jc w:val="both"/>
        <w:rPr>
          <w:rFonts w:cs="Times New Roman"/>
        </w:rPr>
      </w:pPr>
    </w:p>
    <w:p w:rsidR="00842C78" w:rsidRPr="005473E2" w:rsidRDefault="00842C78" w:rsidP="00842C78">
      <w:pPr>
        <w:tabs>
          <w:tab w:val="left" w:pos="0"/>
        </w:tabs>
        <w:autoSpaceDE w:val="0"/>
        <w:autoSpaceDN w:val="0"/>
        <w:adjustRightInd w:val="0"/>
        <w:ind w:firstLine="567"/>
        <w:jc w:val="both"/>
        <w:rPr>
          <w:rFonts w:cs="Times New Roman"/>
          <w:kern w:val="16"/>
        </w:rPr>
      </w:pPr>
      <w:r w:rsidRPr="005473E2">
        <w:rPr>
          <w:rFonts w:cs="Times New Roman"/>
        </w:rPr>
        <w:t xml:space="preserve">В соответствии с Бюджетным кодексом Российской Федерации, постановлением Администрации городского округа Электросталь Московской области </w:t>
      </w:r>
      <w:r w:rsidR="00CA1FF1" w:rsidRPr="005473E2">
        <w:rPr>
          <w:rFonts w:cs="Times New Roman"/>
        </w:rPr>
        <w:t>от 30.06.2023 №910/6 «Об утверждении Порядка разработки, корректировки, осуществления мониторинга и контроля реализации прогноза социально-экономического развития городского округа Электросталь Московской области на среднесрочный период»</w:t>
      </w:r>
      <w:r w:rsidRPr="005473E2">
        <w:rPr>
          <w:rFonts w:cs="Times New Roman"/>
        </w:rPr>
        <w:t xml:space="preserve"> </w:t>
      </w:r>
      <w:r w:rsidRPr="005473E2">
        <w:rPr>
          <w:rFonts w:cs="Times New Roman"/>
          <w:kern w:val="16"/>
        </w:rPr>
        <w:t xml:space="preserve">Администрация </w:t>
      </w:r>
      <w:r w:rsidRPr="005473E2">
        <w:rPr>
          <w:rFonts w:cs="Times New Roman"/>
        </w:rPr>
        <w:t>городского округа Электросталь Московской области ПОСТАНОВЛЯЕТ:</w:t>
      </w:r>
    </w:p>
    <w:p w:rsidR="00842C78" w:rsidRPr="005473E2" w:rsidRDefault="00842C78" w:rsidP="00842C78">
      <w:pPr>
        <w:pStyle w:val="ConsPlusNormal"/>
        <w:tabs>
          <w:tab w:val="left" w:pos="0"/>
        </w:tabs>
        <w:ind w:firstLine="567"/>
        <w:jc w:val="both"/>
        <w:rPr>
          <w:rFonts w:ascii="Times New Roman" w:hAnsi="Times New Roman" w:cs="Times New Roman"/>
          <w:sz w:val="24"/>
          <w:szCs w:val="24"/>
        </w:rPr>
      </w:pPr>
      <w:r w:rsidRPr="005473E2">
        <w:rPr>
          <w:rFonts w:ascii="Times New Roman" w:hAnsi="Times New Roman" w:cs="Times New Roman"/>
          <w:sz w:val="24"/>
          <w:szCs w:val="24"/>
        </w:rPr>
        <w:t xml:space="preserve">1. Одобрить прогноз социально-экономического развития городского округа Электросталь Московской области на </w:t>
      </w:r>
      <w:r w:rsidR="003D68C2" w:rsidRPr="005473E2">
        <w:rPr>
          <w:rFonts w:ascii="Times New Roman" w:hAnsi="Times New Roman" w:cs="Times New Roman"/>
          <w:sz w:val="24"/>
          <w:szCs w:val="24"/>
        </w:rPr>
        <w:t>202</w:t>
      </w:r>
      <w:r w:rsidR="00CC0F2D" w:rsidRPr="005473E2">
        <w:rPr>
          <w:rFonts w:ascii="Times New Roman" w:hAnsi="Times New Roman" w:cs="Times New Roman"/>
          <w:sz w:val="24"/>
          <w:szCs w:val="24"/>
        </w:rPr>
        <w:t>4</w:t>
      </w:r>
      <w:r w:rsidR="003D68C2" w:rsidRPr="005473E2">
        <w:rPr>
          <w:rFonts w:ascii="Times New Roman" w:hAnsi="Times New Roman" w:cs="Times New Roman"/>
          <w:sz w:val="24"/>
          <w:szCs w:val="24"/>
        </w:rPr>
        <w:t>-202</w:t>
      </w:r>
      <w:r w:rsidR="00CC0F2D" w:rsidRPr="005473E2">
        <w:rPr>
          <w:rFonts w:ascii="Times New Roman" w:hAnsi="Times New Roman" w:cs="Times New Roman"/>
          <w:sz w:val="24"/>
          <w:szCs w:val="24"/>
        </w:rPr>
        <w:t>6</w:t>
      </w:r>
      <w:r w:rsidR="003D68C2" w:rsidRPr="005473E2">
        <w:rPr>
          <w:rFonts w:ascii="Times New Roman" w:hAnsi="Times New Roman" w:cs="Times New Roman"/>
          <w:sz w:val="24"/>
          <w:szCs w:val="24"/>
        </w:rPr>
        <w:t xml:space="preserve"> </w:t>
      </w:r>
      <w:r w:rsidRPr="005473E2">
        <w:rPr>
          <w:rFonts w:ascii="Times New Roman" w:hAnsi="Times New Roman" w:cs="Times New Roman"/>
          <w:sz w:val="24"/>
          <w:szCs w:val="24"/>
        </w:rPr>
        <w:t xml:space="preserve">годы согласно </w:t>
      </w:r>
      <w:proofErr w:type="gramStart"/>
      <w:r w:rsidRPr="005473E2">
        <w:rPr>
          <w:rFonts w:ascii="Times New Roman" w:hAnsi="Times New Roman" w:cs="Times New Roman"/>
          <w:sz w:val="24"/>
          <w:szCs w:val="24"/>
        </w:rPr>
        <w:t>приложению</w:t>
      </w:r>
      <w:proofErr w:type="gramEnd"/>
      <w:r w:rsidRPr="005473E2">
        <w:rPr>
          <w:rFonts w:ascii="Times New Roman" w:hAnsi="Times New Roman" w:cs="Times New Roman"/>
          <w:sz w:val="24"/>
          <w:szCs w:val="24"/>
        </w:rPr>
        <w:t xml:space="preserve"> к настоящему постановлению.</w:t>
      </w:r>
    </w:p>
    <w:p w:rsidR="00842C78" w:rsidRPr="005473E2" w:rsidRDefault="00842C78" w:rsidP="00842C78">
      <w:pPr>
        <w:pStyle w:val="a3"/>
        <w:tabs>
          <w:tab w:val="left" w:pos="0"/>
        </w:tabs>
        <w:ind w:left="0" w:firstLine="567"/>
        <w:jc w:val="both"/>
      </w:pPr>
      <w:r w:rsidRPr="005473E2">
        <w:t>2. Финансовому управлению Администрации городского округа Электросталь Московской области составить проект бюджета городского округа Электросталь Московской области на 202</w:t>
      </w:r>
      <w:r w:rsidR="00CC0F2D" w:rsidRPr="005473E2">
        <w:t>4</w:t>
      </w:r>
      <w:r w:rsidRPr="005473E2">
        <w:t xml:space="preserve"> год и на плановый </w:t>
      </w:r>
      <w:proofErr w:type="gramStart"/>
      <w:r w:rsidRPr="005473E2">
        <w:t>период  202</w:t>
      </w:r>
      <w:r w:rsidR="00CC0F2D" w:rsidRPr="005473E2">
        <w:t>5</w:t>
      </w:r>
      <w:proofErr w:type="gramEnd"/>
      <w:r w:rsidR="003D68C2" w:rsidRPr="005473E2">
        <w:t xml:space="preserve"> и 202</w:t>
      </w:r>
      <w:r w:rsidR="00CC0F2D" w:rsidRPr="005473E2">
        <w:t>6</w:t>
      </w:r>
      <w:r w:rsidRPr="005473E2">
        <w:t xml:space="preserve"> годов на основе прогноза социально-экономического развития городского округа Электросталь Московской области на 202</w:t>
      </w:r>
      <w:r w:rsidR="00CC0F2D" w:rsidRPr="005473E2">
        <w:t>4</w:t>
      </w:r>
      <w:r w:rsidR="003D68C2" w:rsidRPr="005473E2">
        <w:t>-202</w:t>
      </w:r>
      <w:r w:rsidR="00CC0F2D" w:rsidRPr="005473E2">
        <w:t>6</w:t>
      </w:r>
      <w:r w:rsidRPr="005473E2">
        <w:t xml:space="preserve"> годы.</w:t>
      </w:r>
    </w:p>
    <w:p w:rsidR="00842C78" w:rsidRPr="005473E2" w:rsidRDefault="00842C78" w:rsidP="00842C78">
      <w:pPr>
        <w:pStyle w:val="a3"/>
        <w:tabs>
          <w:tab w:val="left" w:pos="0"/>
        </w:tabs>
        <w:ind w:left="0" w:firstLine="567"/>
        <w:jc w:val="both"/>
      </w:pPr>
      <w:r w:rsidRPr="005473E2">
        <w:t xml:space="preserve">3. Представить прогноз социально-экономического развития городского округа Электросталь Московской </w:t>
      </w:r>
      <w:proofErr w:type="gramStart"/>
      <w:r w:rsidRPr="005473E2">
        <w:t>области  на</w:t>
      </w:r>
      <w:proofErr w:type="gramEnd"/>
      <w:r w:rsidRPr="005473E2">
        <w:t xml:space="preserve"> 202</w:t>
      </w:r>
      <w:r w:rsidR="00CC0F2D" w:rsidRPr="005473E2">
        <w:t>4</w:t>
      </w:r>
      <w:r w:rsidR="003D68C2" w:rsidRPr="005473E2">
        <w:t>-202</w:t>
      </w:r>
      <w:r w:rsidR="00CC0F2D" w:rsidRPr="005473E2">
        <w:t>6</w:t>
      </w:r>
      <w:r w:rsidRPr="005473E2">
        <w:t xml:space="preserve"> годы в установленном порядке Совету депутатов городского округа Электросталь Московской области одновременно с проектом решения Совета депутатов городского округа Электросталь Московской области «О бюджете городского округа Электросталь Московской области на 202</w:t>
      </w:r>
      <w:r w:rsidR="00CC0F2D" w:rsidRPr="005473E2">
        <w:t>4</w:t>
      </w:r>
      <w:r w:rsidRPr="005473E2">
        <w:t xml:space="preserve"> год и на плановый период  202</w:t>
      </w:r>
      <w:r w:rsidR="00CC0F2D" w:rsidRPr="005473E2">
        <w:t>5</w:t>
      </w:r>
      <w:r w:rsidR="00323EBF" w:rsidRPr="005473E2">
        <w:t xml:space="preserve">  и 202</w:t>
      </w:r>
      <w:r w:rsidR="00CC0F2D" w:rsidRPr="005473E2">
        <w:t>6</w:t>
      </w:r>
      <w:r w:rsidRPr="005473E2">
        <w:t xml:space="preserve"> годов».</w:t>
      </w:r>
    </w:p>
    <w:p w:rsidR="00842C78" w:rsidRPr="005473E2" w:rsidRDefault="00842C78" w:rsidP="00842C78">
      <w:pPr>
        <w:pStyle w:val="a3"/>
        <w:tabs>
          <w:tab w:val="left" w:pos="0"/>
        </w:tabs>
        <w:ind w:left="0" w:firstLine="567"/>
        <w:jc w:val="both"/>
      </w:pPr>
      <w:r w:rsidRPr="005473E2">
        <w:t xml:space="preserve">4. </w:t>
      </w:r>
      <w:r w:rsidR="00CC0F2D" w:rsidRPr="005473E2">
        <w:rPr>
          <w:rFonts w:cs="Arial"/>
        </w:rPr>
        <w:t xml:space="preserve">Опубликовать настоящее постановление в газете «Молва» и разместить на официальном сайте городского округа Электросталь Московской области по адресу: </w:t>
      </w:r>
      <w:hyperlink r:id="rId9" w:history="1">
        <w:r w:rsidR="00CC0F2D" w:rsidRPr="005473E2">
          <w:rPr>
            <w:rFonts w:cs="Arial"/>
          </w:rPr>
          <w:t>www.electrostal.ru</w:t>
        </w:r>
      </w:hyperlink>
      <w:r w:rsidRPr="005473E2">
        <w:t>.</w:t>
      </w:r>
    </w:p>
    <w:p w:rsidR="005C2ABC" w:rsidRPr="005473E2" w:rsidRDefault="005C2ABC" w:rsidP="005C2ABC">
      <w:pPr>
        <w:pStyle w:val="a3"/>
        <w:tabs>
          <w:tab w:val="left" w:pos="0"/>
        </w:tabs>
        <w:autoSpaceDE w:val="0"/>
        <w:autoSpaceDN w:val="0"/>
        <w:adjustRightInd w:val="0"/>
        <w:ind w:left="0" w:firstLine="567"/>
        <w:jc w:val="both"/>
      </w:pPr>
      <w:r w:rsidRPr="005473E2">
        <w:t>5. Настоящее постановление вступает в силу со дня его подписания.</w:t>
      </w:r>
    </w:p>
    <w:p w:rsidR="00842C78" w:rsidRPr="005473E2" w:rsidRDefault="005C2ABC" w:rsidP="00842C78">
      <w:pPr>
        <w:pStyle w:val="a3"/>
        <w:tabs>
          <w:tab w:val="left" w:pos="0"/>
        </w:tabs>
        <w:autoSpaceDE w:val="0"/>
        <w:autoSpaceDN w:val="0"/>
        <w:adjustRightInd w:val="0"/>
        <w:ind w:left="0" w:firstLine="567"/>
        <w:jc w:val="both"/>
      </w:pPr>
      <w:r w:rsidRPr="005473E2">
        <w:t>6</w:t>
      </w:r>
      <w:r w:rsidR="00842C78" w:rsidRPr="005473E2">
        <w:t xml:space="preserve">. Контроль за </w:t>
      </w:r>
      <w:r w:rsidR="00BD10AF" w:rsidRPr="005473E2">
        <w:t>ис</w:t>
      </w:r>
      <w:r w:rsidR="00842C78" w:rsidRPr="005473E2">
        <w:t xml:space="preserve">полнением настоящего постановления возложить на первого заместителя </w:t>
      </w:r>
      <w:proofErr w:type="gramStart"/>
      <w:r w:rsidR="00842C78" w:rsidRPr="005473E2">
        <w:t>Главы  Администрации</w:t>
      </w:r>
      <w:proofErr w:type="gramEnd"/>
      <w:r w:rsidR="00842C78" w:rsidRPr="005473E2">
        <w:t xml:space="preserve">  городского   округа   Электросталь  Московской  области </w:t>
      </w:r>
      <w:proofErr w:type="spellStart"/>
      <w:r w:rsidR="00A3530A" w:rsidRPr="005473E2">
        <w:t>Печникову</w:t>
      </w:r>
      <w:proofErr w:type="spellEnd"/>
      <w:r w:rsidR="00A3530A" w:rsidRPr="005473E2">
        <w:t xml:space="preserve"> О.В.</w:t>
      </w:r>
    </w:p>
    <w:p w:rsidR="00842C78" w:rsidRPr="005473E2" w:rsidRDefault="00842C78" w:rsidP="00842C78">
      <w:pPr>
        <w:pStyle w:val="a3"/>
        <w:ind w:left="0" w:firstLine="540"/>
        <w:jc w:val="both"/>
      </w:pPr>
    </w:p>
    <w:p w:rsidR="00842C78" w:rsidRPr="005473E2" w:rsidRDefault="00842C78" w:rsidP="00842C78">
      <w:pPr>
        <w:jc w:val="both"/>
      </w:pPr>
    </w:p>
    <w:p w:rsidR="00842C78" w:rsidRPr="005473E2" w:rsidRDefault="00323EBF" w:rsidP="00842C78">
      <w:pPr>
        <w:pStyle w:val="af"/>
        <w:spacing w:after="0"/>
        <w:ind w:left="0"/>
        <w:rPr>
          <w:rFonts w:cs="Times New Roman"/>
        </w:rPr>
      </w:pPr>
      <w:r w:rsidRPr="005473E2">
        <w:rPr>
          <w:rFonts w:cs="Times New Roman"/>
        </w:rPr>
        <w:t xml:space="preserve">Глава городского округа                                                                                         </w:t>
      </w:r>
      <w:proofErr w:type="spellStart"/>
      <w:r w:rsidRPr="005473E2">
        <w:rPr>
          <w:rFonts w:cs="Times New Roman"/>
        </w:rPr>
        <w:t>И.Ю.Волкова</w:t>
      </w:r>
      <w:proofErr w:type="spellEnd"/>
    </w:p>
    <w:p w:rsidR="00842C78" w:rsidRPr="005473E2" w:rsidRDefault="00842C78" w:rsidP="00842C78">
      <w:pPr>
        <w:pStyle w:val="af"/>
        <w:spacing w:after="0"/>
        <w:rPr>
          <w:rFonts w:cs="Times New Roman"/>
        </w:rPr>
      </w:pPr>
    </w:p>
    <w:p w:rsidR="00CA1FF1" w:rsidRPr="005473E2" w:rsidRDefault="00CA1FF1" w:rsidP="00CA1FF1">
      <w:pPr>
        <w:shd w:val="clear" w:color="auto" w:fill="FFFFFF" w:themeFill="background1"/>
        <w:ind w:right="-2"/>
        <w:jc w:val="center"/>
        <w:rPr>
          <w:b/>
          <w:sz w:val="28"/>
        </w:rPr>
      </w:pPr>
    </w:p>
    <w:tbl>
      <w:tblPr>
        <w:tblpPr w:leftFromText="180" w:rightFromText="180" w:vertAnchor="page" w:horzAnchor="margin" w:tblpY="1231"/>
        <w:tblW w:w="0" w:type="auto"/>
        <w:tblLook w:val="04A0" w:firstRow="1" w:lastRow="0" w:firstColumn="1" w:lastColumn="0" w:noHBand="0" w:noVBand="1"/>
      </w:tblPr>
      <w:tblGrid>
        <w:gridCol w:w="4653"/>
        <w:gridCol w:w="4702"/>
      </w:tblGrid>
      <w:tr w:rsidR="00CA1FF1" w:rsidRPr="005473E2" w:rsidTr="00F4265B">
        <w:tc>
          <w:tcPr>
            <w:tcW w:w="4653" w:type="dxa"/>
          </w:tcPr>
          <w:p w:rsidR="00CA1FF1" w:rsidRPr="005473E2" w:rsidRDefault="00CA1FF1" w:rsidP="00CA1FF1"/>
          <w:p w:rsidR="00CA1FF1" w:rsidRPr="005473E2" w:rsidRDefault="00CA1FF1" w:rsidP="00CA1FF1"/>
        </w:tc>
        <w:tc>
          <w:tcPr>
            <w:tcW w:w="4702" w:type="dxa"/>
          </w:tcPr>
          <w:p w:rsidR="00CA1FF1" w:rsidRPr="005473E2" w:rsidRDefault="00CA1FF1" w:rsidP="00CA1FF1">
            <w:r w:rsidRPr="005473E2">
              <w:t xml:space="preserve">Приложение </w:t>
            </w:r>
          </w:p>
          <w:p w:rsidR="00CA1FF1" w:rsidRPr="005473E2" w:rsidRDefault="00CA1FF1" w:rsidP="00CA1FF1">
            <w:r w:rsidRPr="005473E2">
              <w:t xml:space="preserve">к постановлению </w:t>
            </w:r>
            <w:proofErr w:type="gramStart"/>
            <w:r w:rsidRPr="005473E2">
              <w:t>Администрации  городского</w:t>
            </w:r>
            <w:proofErr w:type="gramEnd"/>
            <w:r w:rsidRPr="005473E2">
              <w:t xml:space="preserve"> округа Электросталь Московской области</w:t>
            </w:r>
          </w:p>
          <w:p w:rsidR="00CA1FF1" w:rsidRPr="005473E2" w:rsidRDefault="00CA1FF1" w:rsidP="00CA1FF1">
            <w:r w:rsidRPr="005473E2">
              <w:t xml:space="preserve">от </w:t>
            </w:r>
            <w:r w:rsidRPr="005473E2">
              <w:rPr>
                <w:u w:val="single"/>
              </w:rPr>
              <w:t xml:space="preserve">                </w:t>
            </w:r>
            <w:r w:rsidRPr="005473E2">
              <w:t>№</w:t>
            </w:r>
            <w:r w:rsidRPr="005473E2">
              <w:rPr>
                <w:u w:val="single"/>
              </w:rPr>
              <w:t xml:space="preserve">                      </w:t>
            </w:r>
            <w:proofErr w:type="gramStart"/>
            <w:r w:rsidRPr="005473E2">
              <w:rPr>
                <w:u w:val="single"/>
              </w:rPr>
              <w:t xml:space="preserve">  .</w:t>
            </w:r>
            <w:proofErr w:type="gramEnd"/>
          </w:p>
        </w:tc>
      </w:tr>
    </w:tbl>
    <w:p w:rsidR="00CA1FF1" w:rsidRPr="005473E2" w:rsidRDefault="00CA1FF1" w:rsidP="00CA1FF1">
      <w:pPr>
        <w:ind w:right="-2"/>
        <w:rPr>
          <w:rFonts w:cs="Times New Roman"/>
        </w:rPr>
      </w:pPr>
    </w:p>
    <w:p w:rsidR="00CA1FF1" w:rsidRPr="005473E2" w:rsidRDefault="00CA1FF1" w:rsidP="00CA1FF1">
      <w:pPr>
        <w:jc w:val="center"/>
        <w:rPr>
          <w:rFonts w:cs="Times New Roman"/>
          <w:b/>
        </w:rPr>
      </w:pPr>
      <w:r w:rsidRPr="005473E2">
        <w:rPr>
          <w:rFonts w:cs="Times New Roman"/>
          <w:b/>
        </w:rPr>
        <w:t xml:space="preserve">Прогноз социально-экономического развития </w:t>
      </w:r>
    </w:p>
    <w:p w:rsidR="00CA1FF1" w:rsidRPr="005473E2" w:rsidRDefault="00CA1FF1" w:rsidP="00CA1FF1">
      <w:pPr>
        <w:jc w:val="center"/>
        <w:rPr>
          <w:rFonts w:cs="Times New Roman"/>
          <w:b/>
        </w:rPr>
      </w:pPr>
      <w:r w:rsidRPr="005473E2">
        <w:rPr>
          <w:rFonts w:cs="Times New Roman"/>
          <w:b/>
        </w:rPr>
        <w:t>городского округа Электросталь Московской области на 2024-2026 годы</w:t>
      </w:r>
    </w:p>
    <w:p w:rsidR="00CA1FF1" w:rsidRPr="005473E2" w:rsidRDefault="00CA1FF1" w:rsidP="00CA1FF1">
      <w:pPr>
        <w:jc w:val="center"/>
        <w:rPr>
          <w:rFonts w:cs="Times New Roman"/>
          <w:b/>
        </w:rPr>
      </w:pPr>
    </w:p>
    <w:p w:rsidR="00CA1FF1" w:rsidRPr="005473E2" w:rsidRDefault="00CA1FF1" w:rsidP="00CA1FF1">
      <w:pPr>
        <w:ind w:firstLine="567"/>
        <w:jc w:val="both"/>
        <w:rPr>
          <w:rFonts w:cs="Times New Roman"/>
        </w:rPr>
      </w:pPr>
      <w:r w:rsidRPr="005473E2">
        <w:rPr>
          <w:rFonts w:cs="Times New Roman"/>
        </w:rPr>
        <w:t>Прогноз социально-экономического развития городского округа Электросталь Московской области разработан в соответствии с Бюджетным кодексом Российской Федерации, постановлением Правительства Московской области от 24.06.2016 №488/18                «О порядке разработки, корректировки, осуществления мониторинга и контроля реализации прогноза социально-экономического развития Московской области на среднесрочный период и признании утратившими силу некоторых постановлений правительства Московской области», постановлением Администрации городского округа Электросталь Московской области от 30.06.2023 №910/6 «Об утверждении Порядка разработки, корректировки, осуществления мониторинга и контроля реализации прогноза социально-экономического развития городского округа Электросталь Московской области на среднесрочный период» (далее – Порядок).</w:t>
      </w:r>
    </w:p>
    <w:p w:rsidR="00CA1FF1" w:rsidRPr="005473E2" w:rsidRDefault="00CA1FF1" w:rsidP="00CA1FF1">
      <w:pPr>
        <w:tabs>
          <w:tab w:val="left" w:pos="4320"/>
        </w:tabs>
        <w:ind w:firstLine="567"/>
        <w:jc w:val="both"/>
      </w:pPr>
      <w:r w:rsidRPr="005473E2">
        <w:t>В соответствии с Порядком в разработке прогноза в пределах своей компетенции участвовали структурные подразделения Администрации городского округа Электросталь Московской области и подведомственные учреждения городского округа Электросталь Московской области, созданные для выполнения полномочий городского округа Электросталь Московской области в прогнозируемой сфере деятельности.</w:t>
      </w:r>
    </w:p>
    <w:p w:rsidR="00CA1FF1" w:rsidRPr="005473E2" w:rsidRDefault="00CA1FF1" w:rsidP="00CA1FF1">
      <w:pPr>
        <w:tabs>
          <w:tab w:val="left" w:pos="4320"/>
        </w:tabs>
        <w:ind w:firstLine="567"/>
        <w:jc w:val="both"/>
      </w:pPr>
      <w:r w:rsidRPr="005473E2">
        <w:t xml:space="preserve">Прогноз разработан на три года на основе анализа тенденций развития экономики и социальной сферы городского округа Электросталь Московской области, на базе статистических данных за 2021 и 2022 годы, а также итогов социально-экономического развития экономики и социальной сферы городского округа Электросталь Московской области в январе-июне 2023 года. При этом учтены сценарные условия функционирования экономики Российской Федерации, применены индексы-дефляторы цен по видам экономической деятельности и индексы потребительских цен, рекомендованные Министерством экономического развития Российской Федерации. </w:t>
      </w:r>
    </w:p>
    <w:p w:rsidR="00CA1FF1" w:rsidRPr="005473E2" w:rsidRDefault="00CA1FF1" w:rsidP="0060369F">
      <w:pPr>
        <w:widowControl w:val="0"/>
        <w:autoSpaceDE w:val="0"/>
        <w:autoSpaceDN w:val="0"/>
        <w:ind w:firstLine="567"/>
        <w:jc w:val="both"/>
        <w:rPr>
          <w:rFonts w:cs="Times New Roman"/>
        </w:rPr>
      </w:pPr>
      <w:r w:rsidRPr="005473E2">
        <w:rPr>
          <w:rFonts w:cs="Times New Roman"/>
        </w:rPr>
        <w:t>Разработка основных параметров развития экономики проведена по двум вариантам:</w:t>
      </w:r>
    </w:p>
    <w:p w:rsidR="0060369F" w:rsidRPr="0060369F" w:rsidRDefault="0060369F" w:rsidP="0060369F">
      <w:pPr>
        <w:ind w:firstLine="567"/>
        <w:jc w:val="both"/>
        <w:rPr>
          <w:rFonts w:cs="Times New Roman"/>
          <w:color w:val="000000" w:themeColor="text1"/>
        </w:rPr>
      </w:pPr>
      <w:r w:rsidRPr="0060369F">
        <w:rPr>
          <w:rFonts w:cs="Times New Roman"/>
          <w:color w:val="000000" w:themeColor="text1"/>
        </w:rPr>
        <w:t xml:space="preserve">первый вариант (консервативный) – </w:t>
      </w:r>
      <w:r w:rsidRPr="005473E2">
        <w:rPr>
          <w:rFonts w:cs="Times New Roman"/>
          <w:color w:val="000000" w:themeColor="text1"/>
        </w:rPr>
        <w:t xml:space="preserve">предлагает развитие </w:t>
      </w:r>
      <w:r w:rsidRPr="0060369F">
        <w:rPr>
          <w:rFonts w:cs="Times New Roman"/>
          <w:color w:val="000000" w:themeColor="text1"/>
        </w:rPr>
        <w:t xml:space="preserve">на основе консервативных оценок темпов экономического роста с учетом возможности ухудшения </w:t>
      </w:r>
      <w:r w:rsidRPr="005473E2">
        <w:rPr>
          <w:rFonts w:cs="Times New Roman"/>
          <w:color w:val="000000" w:themeColor="text1"/>
        </w:rPr>
        <w:t>экономических условий;</w:t>
      </w:r>
    </w:p>
    <w:p w:rsidR="0060369F" w:rsidRDefault="0060369F" w:rsidP="0060369F">
      <w:pPr>
        <w:ind w:firstLine="567"/>
        <w:jc w:val="both"/>
        <w:rPr>
          <w:rFonts w:cs="Times New Roman"/>
          <w:color w:val="000000" w:themeColor="text1"/>
        </w:rPr>
      </w:pPr>
      <w:r w:rsidRPr="0060369F">
        <w:rPr>
          <w:rFonts w:cs="Times New Roman"/>
          <w:color w:val="000000" w:themeColor="text1"/>
        </w:rPr>
        <w:t xml:space="preserve">второй вариант (базовый) – характеризует </w:t>
      </w:r>
      <w:r w:rsidRPr="005473E2">
        <w:rPr>
          <w:rFonts w:cs="Times New Roman"/>
          <w:color w:val="000000" w:themeColor="text1"/>
        </w:rPr>
        <w:t>оживление и рост в экономике вследствие расширения инвестиционных программ, поддержки государством внутреннего спроса и предложения</w:t>
      </w:r>
      <w:r w:rsidRPr="0060369F">
        <w:rPr>
          <w:rFonts w:cs="Times New Roman"/>
          <w:color w:val="000000" w:themeColor="text1"/>
        </w:rPr>
        <w:t>.</w:t>
      </w:r>
    </w:p>
    <w:p w:rsidR="00D00363" w:rsidRPr="0060369F" w:rsidRDefault="00D00363" w:rsidP="0060369F">
      <w:pPr>
        <w:ind w:firstLine="567"/>
        <w:jc w:val="both"/>
        <w:rPr>
          <w:rFonts w:cs="Times New Roman"/>
          <w:color w:val="000000" w:themeColor="text1"/>
        </w:rPr>
      </w:pPr>
      <w:bookmarkStart w:id="0" w:name="_GoBack"/>
      <w:bookmarkEnd w:id="0"/>
    </w:p>
    <w:p w:rsidR="00CA1FF1" w:rsidRPr="005473E2" w:rsidRDefault="00CA1FF1" w:rsidP="00CA1FF1">
      <w:pPr>
        <w:ind w:firstLine="567"/>
        <w:jc w:val="both"/>
        <w:rPr>
          <w:rFonts w:cs="Times New Roman"/>
          <w:b/>
          <w:bCs/>
        </w:rPr>
      </w:pPr>
      <w:r w:rsidRPr="005473E2">
        <w:rPr>
          <w:rFonts w:cs="Times New Roman"/>
          <w:b/>
          <w:bCs/>
        </w:rPr>
        <w:t>Краткая характеристика муниципального образования</w:t>
      </w:r>
    </w:p>
    <w:p w:rsidR="00CA1FF1" w:rsidRPr="005473E2" w:rsidRDefault="00CA1FF1" w:rsidP="00CA1FF1">
      <w:pPr>
        <w:ind w:firstLine="567"/>
        <w:jc w:val="both"/>
        <w:rPr>
          <w:rFonts w:cs="Times New Roman"/>
        </w:rPr>
      </w:pPr>
      <w:r w:rsidRPr="005473E2">
        <w:rPr>
          <w:rFonts w:cs="Times New Roman"/>
        </w:rPr>
        <w:t xml:space="preserve">Город Электросталь основан в 1916 году (до 1928 года – посёлок Затишье). Создание в начале 20-го века крупным российским промышленником Н.А. Второвым уникального завода по производству высококачественной стали в электрических печах и завода по производству боеприпасов превратили урочище Затишье в рабочий посёлок, а с 26 декабря 1938 года – в город Электросталь. Сегодня это крупный промышленный, культурный и спортивный центр. Городской округ Электросталь расположен в 58 км к востоку от центра г. Москвы. Площадь территории городского округа составляет 13 537 га. В состав городского округа помимо города Электросталь входят следующие населенные пункты: деревня Бабеево; поселок </w:t>
      </w:r>
      <w:proofErr w:type="spellStart"/>
      <w:r w:rsidRPr="005473E2">
        <w:rPr>
          <w:rFonts w:cs="Times New Roman"/>
        </w:rPr>
        <w:t>Всеволодово</w:t>
      </w:r>
      <w:proofErr w:type="spellEnd"/>
      <w:r w:rsidRPr="005473E2">
        <w:rPr>
          <w:rFonts w:cs="Times New Roman"/>
        </w:rPr>
        <w:t xml:space="preserve">; поселок Елизаветино; деревня Есино; село </w:t>
      </w:r>
      <w:proofErr w:type="spellStart"/>
      <w:r w:rsidRPr="005473E2">
        <w:rPr>
          <w:rFonts w:cs="Times New Roman"/>
        </w:rPr>
        <w:lastRenderedPageBreak/>
        <w:t>Иванисово</w:t>
      </w:r>
      <w:proofErr w:type="spellEnd"/>
      <w:r w:rsidRPr="005473E2">
        <w:rPr>
          <w:rFonts w:cs="Times New Roman"/>
        </w:rPr>
        <w:t xml:space="preserve">; поселок Новые Дома; деревня Пушкино; </w:t>
      </w:r>
      <w:proofErr w:type="gramStart"/>
      <w:r w:rsidRPr="005473E2">
        <w:rPr>
          <w:rFonts w:cs="Times New Roman"/>
        </w:rPr>
        <w:t>поселок  Случайный</w:t>
      </w:r>
      <w:proofErr w:type="gramEnd"/>
      <w:r w:rsidRPr="005473E2">
        <w:rPr>
          <w:rFonts w:cs="Times New Roman"/>
        </w:rPr>
        <w:t xml:space="preserve">; деревня Степаново; поселок </w:t>
      </w:r>
      <w:proofErr w:type="spellStart"/>
      <w:r w:rsidRPr="005473E2">
        <w:rPr>
          <w:rFonts w:cs="Times New Roman"/>
        </w:rPr>
        <w:t>Фрязево</w:t>
      </w:r>
      <w:proofErr w:type="spellEnd"/>
      <w:r w:rsidRPr="005473E2">
        <w:rPr>
          <w:rFonts w:cs="Times New Roman"/>
        </w:rPr>
        <w:t>.</w:t>
      </w:r>
    </w:p>
    <w:p w:rsidR="00CA1FF1" w:rsidRPr="005473E2" w:rsidRDefault="00CA1FF1" w:rsidP="00CA1FF1">
      <w:pPr>
        <w:ind w:firstLine="567"/>
        <w:jc w:val="both"/>
        <w:rPr>
          <w:rFonts w:cs="Times New Roman"/>
          <w:b/>
          <w:bCs/>
          <w:i/>
        </w:rPr>
      </w:pPr>
    </w:p>
    <w:p w:rsidR="00CA1FF1" w:rsidRPr="005473E2" w:rsidRDefault="00CA1FF1" w:rsidP="00CA1FF1">
      <w:pPr>
        <w:ind w:firstLine="567"/>
        <w:jc w:val="both"/>
        <w:rPr>
          <w:rFonts w:cs="Times New Roman"/>
          <w:b/>
          <w:bCs/>
          <w:i/>
        </w:rPr>
      </w:pPr>
      <w:r w:rsidRPr="005473E2">
        <w:rPr>
          <w:rFonts w:cs="Times New Roman"/>
          <w:b/>
          <w:bCs/>
          <w:i/>
        </w:rPr>
        <w:t>Отрасли экономики, являющиеся драйверами развития муниципального образования.</w:t>
      </w:r>
    </w:p>
    <w:p w:rsidR="00CA1FF1" w:rsidRPr="005473E2" w:rsidRDefault="00CA1FF1" w:rsidP="00CA1FF1">
      <w:pPr>
        <w:ind w:firstLine="567"/>
        <w:jc w:val="both"/>
        <w:rPr>
          <w:rFonts w:cs="Times New Roman"/>
        </w:rPr>
      </w:pPr>
      <w:r w:rsidRPr="005473E2">
        <w:rPr>
          <w:rFonts w:cs="Times New Roman"/>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Всего на территории городского округа Электросталь осуществляют деятельность 332 крупных и средних предприятий всех видов деятельности. В тоже время территория городского округа насыщена хозяйствующими субъектами малого предпринимательства. </w:t>
      </w:r>
    </w:p>
    <w:p w:rsidR="00CA1FF1" w:rsidRPr="005473E2" w:rsidRDefault="00CA1FF1" w:rsidP="00CA1FF1">
      <w:pPr>
        <w:ind w:firstLine="567"/>
        <w:jc w:val="both"/>
        <w:rPr>
          <w:rFonts w:cs="Times New Roman"/>
          <w:b/>
        </w:rPr>
      </w:pPr>
    </w:p>
    <w:p w:rsidR="00CA1FF1" w:rsidRPr="005473E2" w:rsidRDefault="00CA1FF1" w:rsidP="00CA1FF1">
      <w:pPr>
        <w:ind w:firstLine="567"/>
        <w:jc w:val="both"/>
        <w:rPr>
          <w:rFonts w:cs="Times New Roman"/>
          <w:b/>
        </w:rPr>
      </w:pPr>
      <w:r w:rsidRPr="005473E2">
        <w:rPr>
          <w:rFonts w:cs="Times New Roman"/>
          <w:b/>
        </w:rPr>
        <w:t>Демографические показатели.</w:t>
      </w:r>
    </w:p>
    <w:p w:rsidR="00CA1FF1" w:rsidRPr="005473E2" w:rsidRDefault="00CA1FF1" w:rsidP="00CA1FF1">
      <w:pPr>
        <w:ind w:firstLine="567"/>
        <w:jc w:val="both"/>
        <w:rPr>
          <w:rFonts w:cs="Times New Roman"/>
        </w:rPr>
      </w:pPr>
      <w:r w:rsidRPr="005473E2">
        <w:rPr>
          <w:rFonts w:cs="Times New Roman"/>
        </w:rPr>
        <w:t xml:space="preserve">Численность населения городского округа Электросталь по состоянию на 01.01.2022 </w:t>
      </w:r>
      <w:r w:rsidR="00A305C8" w:rsidRPr="005473E2">
        <w:rPr>
          <w:rFonts w:cs="Times New Roman"/>
        </w:rPr>
        <w:t xml:space="preserve">(с учётом итогов Всероссийской переписи населения 2020 г.) </w:t>
      </w:r>
      <w:r w:rsidRPr="005473E2">
        <w:rPr>
          <w:rFonts w:cs="Times New Roman"/>
        </w:rPr>
        <w:t>составляла 154701 человек. В 2022 году в городском округе родилось 1079 детей, смертность составила 2250 человек. В результате, естественная убыль населения городского округа составила 1171 человек.  Ввиду естественной убыли населения, а также отрицательного миграционного прироста, сложивше</w:t>
      </w:r>
      <w:r w:rsidR="00A305C8" w:rsidRPr="005473E2">
        <w:rPr>
          <w:rFonts w:cs="Times New Roman"/>
        </w:rPr>
        <w:t>го</w:t>
      </w:r>
      <w:r w:rsidRPr="005473E2">
        <w:rPr>
          <w:rFonts w:cs="Times New Roman"/>
        </w:rPr>
        <w:t>ся в 2022 году (-134</w:t>
      </w:r>
      <w:r w:rsidR="00A305C8" w:rsidRPr="005473E2">
        <w:rPr>
          <w:rFonts w:cs="Times New Roman"/>
        </w:rPr>
        <w:t>0</w:t>
      </w:r>
      <w:r w:rsidRPr="005473E2">
        <w:rPr>
          <w:rFonts w:cs="Times New Roman"/>
        </w:rPr>
        <w:t xml:space="preserve"> человек), численность населения городского округа Электросталь по состоянию на 01.01.2023 уменьшилась и составила 152190 человек.</w:t>
      </w:r>
    </w:p>
    <w:p w:rsidR="00CA1FF1" w:rsidRPr="005473E2" w:rsidRDefault="00CA1FF1" w:rsidP="00CA1FF1">
      <w:pPr>
        <w:ind w:firstLine="567"/>
        <w:jc w:val="both"/>
        <w:rPr>
          <w:rFonts w:eastAsia="+mn-ea"/>
          <w:kern w:val="24"/>
        </w:rPr>
      </w:pPr>
      <w:r w:rsidRPr="005473E2">
        <w:rPr>
          <w:rFonts w:eastAsia="+mn-ea"/>
          <w:kern w:val="24"/>
        </w:rPr>
        <w:t>В 2022 году родилось на 8,18 % меньше детей по сравнению с предыдущим годом, число родившихся составило 1079 детей, что на 96 детей меньше, чем за аналогичный период 2021 года (1173 ребенка). Общий коэффициент рождаемости за 2022 год снизился на 0,5 единиц и составил 7,0 родившихся на 1000 человек населения (в 2021 году – 7,5 родившихся на 1000 человек населения).</w:t>
      </w:r>
    </w:p>
    <w:p w:rsidR="00CA1FF1" w:rsidRPr="005473E2" w:rsidRDefault="00CA1FF1" w:rsidP="00CA1FF1">
      <w:pPr>
        <w:ind w:firstLine="567"/>
        <w:jc w:val="both"/>
      </w:pPr>
      <w:r w:rsidRPr="005473E2">
        <w:rPr>
          <w:rFonts w:eastAsia="+mn-ea"/>
          <w:kern w:val="24"/>
        </w:rPr>
        <w:t xml:space="preserve">За январь – июнь 2023 года в городском округе родилось </w:t>
      </w:r>
      <w:r w:rsidR="00A305C8" w:rsidRPr="005473E2">
        <w:rPr>
          <w:rFonts w:eastAsia="+mn-ea"/>
          <w:kern w:val="24"/>
        </w:rPr>
        <w:t>582 ребенка</w:t>
      </w:r>
      <w:r w:rsidRPr="005473E2">
        <w:rPr>
          <w:rFonts w:eastAsia="+mn-ea"/>
          <w:kern w:val="24"/>
        </w:rPr>
        <w:t>, что на 4</w:t>
      </w:r>
      <w:r w:rsidR="00A305C8" w:rsidRPr="005473E2">
        <w:rPr>
          <w:rFonts w:eastAsia="+mn-ea"/>
          <w:kern w:val="24"/>
        </w:rPr>
        <w:t>2</w:t>
      </w:r>
      <w:r w:rsidRPr="005473E2">
        <w:rPr>
          <w:rFonts w:eastAsia="+mn-ea"/>
          <w:kern w:val="24"/>
        </w:rPr>
        <w:t xml:space="preserve"> </w:t>
      </w:r>
      <w:r w:rsidR="00A305C8" w:rsidRPr="005473E2">
        <w:rPr>
          <w:rFonts w:eastAsia="+mn-ea"/>
          <w:kern w:val="24"/>
        </w:rPr>
        <w:t xml:space="preserve">ребенка </w:t>
      </w:r>
      <w:r w:rsidRPr="005473E2">
        <w:rPr>
          <w:rFonts w:eastAsia="+mn-ea"/>
          <w:kern w:val="24"/>
        </w:rPr>
        <w:t xml:space="preserve">больше, чем за аналогичный период 2022 года. Наблюдается тенденция к росту рождаемости. К концу 2023 года рождаемость оценочно превысит значения 2022 года. </w:t>
      </w:r>
      <w:r w:rsidRPr="005473E2">
        <w:t>В прогнозном периоде 2024-2026 годов ожидается незначительный рост рождаемости, что обусловлено следующими основными причинами: снижение количества женщин фертильного возраста в активном детородном периоде, откладывание планирования беременности. Однако, последовательная реализация мероприятий по поддержке материнства и детства, позволит рассчитывать на формирование положительной динамики рождаемости по второму варианту прогноза.</w:t>
      </w:r>
    </w:p>
    <w:p w:rsidR="00CA1FF1" w:rsidRPr="005473E2" w:rsidRDefault="00CA1FF1" w:rsidP="00CA1FF1">
      <w:pPr>
        <w:ind w:firstLine="567"/>
        <w:jc w:val="both"/>
        <w:rPr>
          <w:rFonts w:cs="Times New Roman"/>
        </w:rPr>
      </w:pPr>
      <w:r w:rsidRPr="005473E2">
        <w:rPr>
          <w:rFonts w:cs="Times New Roman"/>
        </w:rPr>
        <w:t xml:space="preserve">В 2022 году наблюдалось снижение смертности. За 2022 год в городском округе умерло 2250 человек, что на 688 человек меньше, чем в 2021 году. </w:t>
      </w:r>
    </w:p>
    <w:p w:rsidR="00CA1FF1" w:rsidRPr="005473E2" w:rsidRDefault="00CA1FF1" w:rsidP="00CA1FF1">
      <w:pPr>
        <w:ind w:firstLine="567"/>
        <w:jc w:val="both"/>
        <w:rPr>
          <w:rFonts w:cs="Times New Roman"/>
        </w:rPr>
      </w:pPr>
      <w:r w:rsidRPr="005473E2">
        <w:rPr>
          <w:rFonts w:cs="Times New Roman"/>
        </w:rPr>
        <w:t>Тенденция снижения смертности наблюдается и в 2023 году, за январь-июнь 2023 года смертность составила 1031 человек, в 2021 году за аналогичный период умерло 1195 человек (на 164 человека больше). В этой связи уровень смертности в 2023 году уменьшится</w:t>
      </w:r>
      <w:r w:rsidR="00A305C8" w:rsidRPr="005473E2">
        <w:rPr>
          <w:rFonts w:cs="Times New Roman"/>
        </w:rPr>
        <w:t xml:space="preserve"> и оценочно составит 2156 человек</w:t>
      </w:r>
      <w:r w:rsidRPr="005473E2">
        <w:rPr>
          <w:rFonts w:cs="Times New Roman"/>
        </w:rPr>
        <w:t>.</w:t>
      </w:r>
    </w:p>
    <w:p w:rsidR="00CA1FF1" w:rsidRPr="005473E2" w:rsidRDefault="00CA1FF1" w:rsidP="00CA1FF1">
      <w:pPr>
        <w:ind w:firstLine="567"/>
        <w:jc w:val="both"/>
        <w:rPr>
          <w:rFonts w:cs="Times New Roman"/>
        </w:rPr>
      </w:pPr>
      <w:r w:rsidRPr="005473E2">
        <w:rPr>
          <w:rFonts w:cs="Times New Roman"/>
        </w:rPr>
        <w:t xml:space="preserve">В прогнозном периоде ожидается снижение смертности. </w:t>
      </w:r>
      <w:r w:rsidR="00A305C8" w:rsidRPr="005473E2">
        <w:rPr>
          <w:rFonts w:cs="Times New Roman"/>
        </w:rPr>
        <w:t>Н</w:t>
      </w:r>
      <w:r w:rsidRPr="005473E2">
        <w:rPr>
          <w:rFonts w:cs="Times New Roman"/>
        </w:rPr>
        <w:t>аращивание мощностей учреждений здравоохранения, совершенствование медицинской помощи, и проводимая профилактическая работа будут способствовать ограничению роста новых случаев смертности. Реализация мероприятий по снижению смертности населения, улучшение качества медицинского обслуживания, профилактика заболеваний позволит увеличить ожидаемую продолжительность жизни к 2026 году.</w:t>
      </w:r>
    </w:p>
    <w:p w:rsidR="00CA1FF1" w:rsidRPr="005473E2" w:rsidRDefault="00CA1FF1" w:rsidP="00CA1FF1">
      <w:pPr>
        <w:ind w:firstLine="567"/>
        <w:jc w:val="both"/>
        <w:rPr>
          <w:rFonts w:cs="Times New Roman"/>
          <w:bCs/>
        </w:rPr>
      </w:pPr>
      <w:r w:rsidRPr="005473E2">
        <w:rPr>
          <w:rFonts w:cs="Times New Roman"/>
          <w:bCs/>
        </w:rPr>
        <w:t xml:space="preserve">С 2019 года на территории городского округа Электросталь наблюдается отрицательный миграционный прирос.  За период январь-июнь 2023 года миграционный прирост по городскому округу отрицательный (-370 </w:t>
      </w:r>
      <w:proofErr w:type="gramStart"/>
      <w:r w:rsidRPr="005473E2">
        <w:rPr>
          <w:rFonts w:cs="Times New Roman"/>
          <w:bCs/>
        </w:rPr>
        <w:t>чел</w:t>
      </w:r>
      <w:proofErr w:type="gramEnd"/>
      <w:r w:rsidRPr="005473E2">
        <w:rPr>
          <w:rFonts w:cs="Times New Roman"/>
          <w:bCs/>
        </w:rPr>
        <w:t xml:space="preserve">). Учитывая, что за последние три года годовой миграционный прирост складывался отрицательный, и с учетом того, что на территории не планируется </w:t>
      </w:r>
      <w:r w:rsidR="006E2F87" w:rsidRPr="005473E2">
        <w:rPr>
          <w:rFonts w:cs="Times New Roman"/>
          <w:bCs/>
        </w:rPr>
        <w:t xml:space="preserve">строительство </w:t>
      </w:r>
      <w:r w:rsidRPr="005473E2">
        <w:rPr>
          <w:rFonts w:cs="Times New Roman"/>
          <w:bCs/>
        </w:rPr>
        <w:t>крупных предприятий</w:t>
      </w:r>
      <w:r w:rsidR="006E2F87" w:rsidRPr="005473E2">
        <w:rPr>
          <w:rFonts w:cs="Times New Roman"/>
          <w:bCs/>
        </w:rPr>
        <w:t xml:space="preserve">, а также ввиду низкого </w:t>
      </w:r>
      <w:r w:rsidR="006E2F87" w:rsidRPr="005473E2">
        <w:rPr>
          <w:rFonts w:cs="Times New Roman"/>
          <w:bCs/>
        </w:rPr>
        <w:lastRenderedPageBreak/>
        <w:t>роста жилищного строительства</w:t>
      </w:r>
      <w:r w:rsidRPr="005473E2">
        <w:rPr>
          <w:rFonts w:cs="Times New Roman"/>
          <w:bCs/>
        </w:rPr>
        <w:t xml:space="preserve">, </w:t>
      </w:r>
      <w:r w:rsidR="006E2F87" w:rsidRPr="005473E2">
        <w:rPr>
          <w:rFonts w:cs="Times New Roman"/>
          <w:bCs/>
        </w:rPr>
        <w:t xml:space="preserve">на прогнозный период 2024-2026 годов </w:t>
      </w:r>
      <w:r w:rsidRPr="005473E2">
        <w:rPr>
          <w:rFonts w:cs="Times New Roman"/>
          <w:bCs/>
        </w:rPr>
        <w:t>ожидается сохранение отрицательного миграционного прироста.</w:t>
      </w:r>
    </w:p>
    <w:p w:rsidR="00CA1FF1" w:rsidRPr="005473E2" w:rsidRDefault="00CA1FF1" w:rsidP="00CA1FF1">
      <w:pPr>
        <w:ind w:firstLine="567"/>
        <w:jc w:val="both"/>
        <w:rPr>
          <w:rFonts w:cs="Times New Roman"/>
          <w:b/>
        </w:rPr>
      </w:pPr>
    </w:p>
    <w:p w:rsidR="00CA1FF1" w:rsidRPr="005473E2" w:rsidRDefault="00CA1FF1" w:rsidP="00CA1FF1">
      <w:pPr>
        <w:ind w:firstLine="567"/>
        <w:jc w:val="both"/>
        <w:rPr>
          <w:rFonts w:cs="Times New Roman"/>
          <w:b/>
        </w:rPr>
      </w:pPr>
      <w:r w:rsidRPr="005473E2">
        <w:rPr>
          <w:rFonts w:cs="Times New Roman"/>
          <w:b/>
        </w:rPr>
        <w:t>Промышленное производство.</w:t>
      </w:r>
    </w:p>
    <w:p w:rsidR="00CA1FF1" w:rsidRPr="005473E2" w:rsidRDefault="00CA1FF1" w:rsidP="00CA1FF1">
      <w:pPr>
        <w:ind w:firstLine="567"/>
        <w:jc w:val="both"/>
        <w:rPr>
          <w:rFonts w:cs="Times New Roman"/>
          <w:b/>
          <w:bCs/>
          <w:i/>
        </w:rPr>
      </w:pPr>
      <w:r w:rsidRPr="005473E2">
        <w:rPr>
          <w:rFonts w:cs="Times New Roman"/>
          <w:b/>
          <w:bCs/>
          <w:i/>
        </w:rPr>
        <w:t>Сложившаяся характеристика развития промышленного производства</w:t>
      </w:r>
    </w:p>
    <w:p w:rsidR="00CA1FF1" w:rsidRPr="005473E2" w:rsidRDefault="00CA1FF1" w:rsidP="00CA1FF1">
      <w:pPr>
        <w:widowControl w:val="0"/>
        <w:autoSpaceDE w:val="0"/>
        <w:autoSpaceDN w:val="0"/>
        <w:ind w:left="52" w:right="32" w:firstLine="515"/>
        <w:jc w:val="both"/>
        <w:rPr>
          <w:rFonts w:cs="Times New Roman"/>
          <w:spacing w:val="-4"/>
          <w:w w:val="105"/>
          <w:lang w:bidi="ru-RU"/>
        </w:rPr>
      </w:pPr>
      <w:r w:rsidRPr="005473E2">
        <w:rPr>
          <w:rFonts w:cs="Times New Roman"/>
          <w:w w:val="105"/>
          <w:lang w:bidi="ru-RU"/>
        </w:rPr>
        <w:t>Основные экономические показатели города, в основном, формируют три крупнейшие промышленные предприятия, осуществляющие свою деятельность сфере обрабатывающего производства:</w:t>
      </w:r>
      <w:r w:rsidRPr="005473E2">
        <w:rPr>
          <w:rFonts w:cs="Times New Roman"/>
          <w:spacing w:val="-4"/>
          <w:w w:val="105"/>
          <w:lang w:bidi="ru-RU"/>
        </w:rPr>
        <w:t xml:space="preserve"> </w:t>
      </w:r>
    </w:p>
    <w:p w:rsidR="00CA1FF1" w:rsidRPr="005473E2" w:rsidRDefault="00CA1FF1" w:rsidP="00CA1FF1">
      <w:pPr>
        <w:widowControl w:val="0"/>
        <w:autoSpaceDE w:val="0"/>
        <w:autoSpaceDN w:val="0"/>
        <w:ind w:left="52" w:right="32" w:firstLine="515"/>
        <w:jc w:val="both"/>
        <w:rPr>
          <w:rFonts w:cs="Times New Roman"/>
          <w:spacing w:val="31"/>
          <w:w w:val="105"/>
          <w:lang w:bidi="ru-RU"/>
        </w:rPr>
      </w:pPr>
      <w:r w:rsidRPr="005473E2">
        <w:rPr>
          <w:rFonts w:cs="Times New Roman"/>
          <w:w w:val="105"/>
          <w:lang w:bidi="ru-RU"/>
        </w:rPr>
        <w:t>АО</w:t>
      </w:r>
      <w:r w:rsidRPr="005473E2">
        <w:rPr>
          <w:rFonts w:cs="Times New Roman"/>
          <w:lang w:bidi="ru-RU"/>
        </w:rPr>
        <w:t xml:space="preserve"> </w:t>
      </w:r>
      <w:r w:rsidRPr="005473E2">
        <w:rPr>
          <w:rFonts w:cs="Times New Roman"/>
          <w:w w:val="105"/>
          <w:lang w:bidi="ru-RU"/>
        </w:rPr>
        <w:t xml:space="preserve">«Машиностроительный завод», входит в структуру Топливной компании «ТВЭЛ» </w:t>
      </w:r>
      <w:proofErr w:type="spellStart"/>
      <w:r w:rsidRPr="005473E2">
        <w:rPr>
          <w:rFonts w:cs="Times New Roman"/>
          <w:w w:val="105"/>
          <w:lang w:bidi="ru-RU"/>
        </w:rPr>
        <w:t>Госкорпорации</w:t>
      </w:r>
      <w:proofErr w:type="spellEnd"/>
      <w:r w:rsidRPr="005473E2">
        <w:rPr>
          <w:rFonts w:cs="Times New Roman"/>
          <w:w w:val="105"/>
          <w:lang w:bidi="ru-RU"/>
        </w:rPr>
        <w:t xml:space="preserve"> «</w:t>
      </w:r>
      <w:proofErr w:type="spellStart"/>
      <w:r w:rsidRPr="005473E2">
        <w:rPr>
          <w:rFonts w:cs="Times New Roman"/>
          <w:w w:val="105"/>
          <w:lang w:bidi="ru-RU"/>
        </w:rPr>
        <w:t>Росатом</w:t>
      </w:r>
      <w:proofErr w:type="spellEnd"/>
      <w:r w:rsidRPr="005473E2">
        <w:rPr>
          <w:rFonts w:cs="Times New Roman"/>
          <w:w w:val="105"/>
          <w:lang w:bidi="ru-RU"/>
        </w:rPr>
        <w:t xml:space="preserve">», вид </w:t>
      </w:r>
      <w:r w:rsidRPr="005473E2">
        <w:rPr>
          <w:rFonts w:cs="Times New Roman"/>
          <w:spacing w:val="-2"/>
          <w:w w:val="105"/>
          <w:lang w:bidi="ru-RU"/>
        </w:rPr>
        <w:t xml:space="preserve">деятельности: </w:t>
      </w:r>
      <w:r w:rsidRPr="005473E2">
        <w:rPr>
          <w:rFonts w:cs="Times New Roman"/>
          <w:w w:val="105"/>
          <w:lang w:bidi="ru-RU"/>
        </w:rPr>
        <w:t>производство ядерного топлива;</w:t>
      </w:r>
      <w:r w:rsidRPr="005473E2">
        <w:rPr>
          <w:rFonts w:cs="Times New Roman"/>
          <w:spacing w:val="31"/>
          <w:w w:val="105"/>
          <w:lang w:bidi="ru-RU"/>
        </w:rPr>
        <w:t xml:space="preserve"> </w:t>
      </w:r>
    </w:p>
    <w:p w:rsidR="00CA1FF1" w:rsidRPr="005473E2" w:rsidRDefault="00CA1FF1" w:rsidP="00CA1FF1">
      <w:pPr>
        <w:widowControl w:val="0"/>
        <w:autoSpaceDE w:val="0"/>
        <w:autoSpaceDN w:val="0"/>
        <w:ind w:left="52" w:right="32" w:firstLine="515"/>
        <w:jc w:val="both"/>
        <w:rPr>
          <w:rFonts w:cs="Times New Roman"/>
          <w:w w:val="105"/>
          <w:lang w:bidi="ru-RU"/>
        </w:rPr>
      </w:pPr>
      <w:r w:rsidRPr="005473E2">
        <w:rPr>
          <w:rFonts w:cs="Times New Roman"/>
          <w:w w:val="105"/>
          <w:lang w:bidi="ru-RU"/>
        </w:rPr>
        <w:t xml:space="preserve">- ОАО «Металлургический завод «Электросталь», вид деятельности: производство стали в слитках, способен выплавлять более 2000 марок высококачественной стали; </w:t>
      </w:r>
    </w:p>
    <w:p w:rsidR="00CA1FF1" w:rsidRPr="005473E2" w:rsidRDefault="00CA1FF1" w:rsidP="00CA1FF1">
      <w:pPr>
        <w:widowControl w:val="0"/>
        <w:autoSpaceDE w:val="0"/>
        <w:autoSpaceDN w:val="0"/>
        <w:ind w:left="52" w:right="32" w:firstLine="515"/>
        <w:jc w:val="both"/>
        <w:rPr>
          <w:rFonts w:cs="Times New Roman"/>
          <w:w w:val="105"/>
          <w:lang w:bidi="ru-RU"/>
        </w:rPr>
      </w:pPr>
      <w:r w:rsidRPr="005473E2">
        <w:rPr>
          <w:rFonts w:cs="Times New Roman"/>
          <w:w w:val="105"/>
          <w:lang w:bidi="ru-RU"/>
        </w:rPr>
        <w:t>- ОАО «</w:t>
      </w:r>
      <w:proofErr w:type="spellStart"/>
      <w:r w:rsidRPr="005473E2">
        <w:rPr>
          <w:rFonts w:cs="Times New Roman"/>
          <w:w w:val="105"/>
          <w:lang w:bidi="ru-RU"/>
        </w:rPr>
        <w:t>Электростальский</w:t>
      </w:r>
      <w:proofErr w:type="spellEnd"/>
      <w:r w:rsidRPr="005473E2">
        <w:rPr>
          <w:rFonts w:cs="Times New Roman"/>
          <w:w w:val="105"/>
          <w:lang w:bidi="ru-RU"/>
        </w:rPr>
        <w:t xml:space="preserve"> завод тяжелого машиностроения», вид деятельности: производство машин и оборудования для металлургии, выпускает прокатные станы для металлургической промышленности. </w:t>
      </w:r>
    </w:p>
    <w:p w:rsidR="00CA1FF1" w:rsidRPr="005473E2" w:rsidRDefault="00CA1FF1" w:rsidP="00CA1FF1">
      <w:pPr>
        <w:widowControl w:val="0"/>
        <w:autoSpaceDE w:val="0"/>
        <w:autoSpaceDN w:val="0"/>
        <w:ind w:left="52" w:right="32" w:firstLine="515"/>
        <w:jc w:val="both"/>
        <w:rPr>
          <w:rFonts w:cs="Times New Roman"/>
          <w:w w:val="105"/>
          <w:lang w:bidi="ru-RU"/>
        </w:rPr>
      </w:pPr>
      <w:r w:rsidRPr="005473E2">
        <w:rPr>
          <w:rFonts w:cs="Times New Roman"/>
          <w:w w:val="105"/>
          <w:lang w:bidi="ru-RU"/>
        </w:rPr>
        <w:t xml:space="preserve">Кроме них, на территории городского округа осуществляют деятельность крупные предприятия: </w:t>
      </w:r>
    </w:p>
    <w:p w:rsidR="00CA1FF1" w:rsidRPr="005473E2" w:rsidRDefault="00CA1FF1" w:rsidP="00CA1FF1">
      <w:pPr>
        <w:widowControl w:val="0"/>
        <w:autoSpaceDE w:val="0"/>
        <w:autoSpaceDN w:val="0"/>
        <w:ind w:left="52" w:right="32" w:firstLine="515"/>
        <w:jc w:val="both"/>
        <w:rPr>
          <w:rFonts w:cs="Times New Roman"/>
          <w:w w:val="105"/>
          <w:lang w:bidi="ru-RU"/>
        </w:rPr>
      </w:pPr>
      <w:r w:rsidRPr="005473E2">
        <w:rPr>
          <w:rFonts w:cs="Times New Roman"/>
          <w:w w:val="105"/>
          <w:lang w:bidi="ru-RU"/>
        </w:rPr>
        <w:t>- ОАО «</w:t>
      </w:r>
      <w:proofErr w:type="spellStart"/>
      <w:r w:rsidRPr="005473E2">
        <w:rPr>
          <w:rFonts w:cs="Times New Roman"/>
          <w:w w:val="105"/>
          <w:lang w:bidi="ru-RU"/>
        </w:rPr>
        <w:t>Электростальский</w:t>
      </w:r>
      <w:proofErr w:type="spellEnd"/>
      <w:r w:rsidRPr="005473E2">
        <w:rPr>
          <w:rFonts w:cs="Times New Roman"/>
          <w:w w:val="105"/>
          <w:lang w:bidi="ru-RU"/>
        </w:rPr>
        <w:t xml:space="preserve"> химико- механический завод им. </w:t>
      </w:r>
      <w:proofErr w:type="spellStart"/>
      <w:r w:rsidRPr="005473E2">
        <w:rPr>
          <w:rFonts w:cs="Times New Roman"/>
          <w:w w:val="105"/>
          <w:lang w:bidi="ru-RU"/>
        </w:rPr>
        <w:t>Н.Д.Зелинского</w:t>
      </w:r>
      <w:proofErr w:type="spellEnd"/>
      <w:r w:rsidRPr="005473E2">
        <w:rPr>
          <w:rFonts w:cs="Times New Roman"/>
          <w:w w:val="105"/>
          <w:lang w:bidi="ru-RU"/>
        </w:rPr>
        <w:t>»,</w:t>
      </w:r>
      <w:r w:rsidRPr="005473E2">
        <w:rPr>
          <w:rFonts w:cs="Times New Roman"/>
          <w:spacing w:val="-20"/>
          <w:w w:val="105"/>
          <w:lang w:bidi="ru-RU"/>
        </w:rPr>
        <w:t xml:space="preserve"> </w:t>
      </w:r>
      <w:r w:rsidRPr="005473E2">
        <w:rPr>
          <w:rFonts w:cs="Times New Roman"/>
          <w:w w:val="105"/>
          <w:lang w:bidi="ru-RU"/>
        </w:rPr>
        <w:t>ранее входивший в корпорацию «</w:t>
      </w:r>
      <w:proofErr w:type="spellStart"/>
      <w:r w:rsidRPr="005473E2">
        <w:rPr>
          <w:rFonts w:cs="Times New Roman"/>
          <w:w w:val="105"/>
          <w:lang w:bidi="ru-RU"/>
        </w:rPr>
        <w:t>Спецзащита</w:t>
      </w:r>
      <w:proofErr w:type="spellEnd"/>
      <w:r w:rsidRPr="005473E2">
        <w:rPr>
          <w:rFonts w:cs="Times New Roman"/>
          <w:w w:val="105"/>
          <w:lang w:bidi="ru-RU"/>
        </w:rPr>
        <w:t xml:space="preserve">», теперь работает под брендом «Зелинский групп», вид деятельности: производство </w:t>
      </w:r>
      <w:r w:rsidRPr="005473E2">
        <w:rPr>
          <w:rFonts w:cs="Times New Roman"/>
          <w:spacing w:val="-3"/>
          <w:w w:val="105"/>
          <w:lang w:bidi="ru-RU"/>
        </w:rPr>
        <w:t xml:space="preserve">средств </w:t>
      </w:r>
      <w:r w:rsidRPr="005473E2">
        <w:rPr>
          <w:rFonts w:cs="Times New Roman"/>
          <w:w w:val="105"/>
          <w:lang w:bidi="ru-RU"/>
        </w:rPr>
        <w:t xml:space="preserve">индивидуальной защиты, производит жизненно необходимые средства химзащиты; </w:t>
      </w:r>
    </w:p>
    <w:p w:rsidR="00CA1FF1" w:rsidRPr="005473E2" w:rsidRDefault="00CA1FF1" w:rsidP="00CA1FF1">
      <w:pPr>
        <w:widowControl w:val="0"/>
        <w:autoSpaceDE w:val="0"/>
        <w:autoSpaceDN w:val="0"/>
        <w:ind w:left="52" w:right="32" w:firstLine="515"/>
        <w:jc w:val="both"/>
        <w:rPr>
          <w:rFonts w:cs="Times New Roman"/>
          <w:w w:val="105"/>
          <w:lang w:bidi="ru-RU"/>
        </w:rPr>
      </w:pPr>
      <w:r w:rsidRPr="005473E2">
        <w:rPr>
          <w:rFonts w:cs="Times New Roman"/>
          <w:w w:val="105"/>
          <w:lang w:bidi="ru-RU"/>
        </w:rPr>
        <w:t>- АО</w:t>
      </w:r>
      <w:r w:rsidRPr="005473E2">
        <w:rPr>
          <w:rFonts w:cs="Times New Roman"/>
          <w:spacing w:val="-13"/>
          <w:w w:val="105"/>
          <w:lang w:bidi="ru-RU"/>
        </w:rPr>
        <w:t xml:space="preserve"> </w:t>
      </w:r>
      <w:r w:rsidRPr="005473E2">
        <w:rPr>
          <w:rFonts w:cs="Times New Roman"/>
          <w:w w:val="105"/>
          <w:lang w:bidi="ru-RU"/>
        </w:rPr>
        <w:t xml:space="preserve">«НПО «Неорганика», вид деятельности: научные исследования и разработки в области естественных и технических наук; </w:t>
      </w:r>
    </w:p>
    <w:p w:rsidR="00CA1FF1" w:rsidRPr="005473E2" w:rsidRDefault="00CA1FF1" w:rsidP="00CA1FF1">
      <w:pPr>
        <w:widowControl w:val="0"/>
        <w:autoSpaceDE w:val="0"/>
        <w:autoSpaceDN w:val="0"/>
        <w:ind w:left="52" w:right="32" w:firstLine="515"/>
        <w:jc w:val="both"/>
        <w:rPr>
          <w:rFonts w:cs="Times New Roman"/>
          <w:w w:val="105"/>
          <w:lang w:bidi="ru-RU"/>
        </w:rPr>
      </w:pPr>
      <w:r w:rsidRPr="005473E2">
        <w:rPr>
          <w:rFonts w:cs="Times New Roman"/>
          <w:w w:val="105"/>
          <w:lang w:bidi="ru-RU"/>
        </w:rPr>
        <w:t xml:space="preserve">- АО «502 завод по ремонту военно-технического имущества»: предприятие находится под ведомством Минобороны РФ, вид </w:t>
      </w:r>
      <w:r w:rsidRPr="005473E2">
        <w:rPr>
          <w:rFonts w:cs="Times New Roman"/>
          <w:spacing w:val="-2"/>
          <w:w w:val="105"/>
          <w:lang w:bidi="ru-RU"/>
        </w:rPr>
        <w:t xml:space="preserve">деятельности: </w:t>
      </w:r>
      <w:r w:rsidRPr="005473E2">
        <w:rPr>
          <w:rFonts w:cs="Times New Roman"/>
          <w:w w:val="105"/>
          <w:lang w:bidi="ru-RU"/>
        </w:rPr>
        <w:t xml:space="preserve">ремонт вооружения и военной техники. </w:t>
      </w:r>
    </w:p>
    <w:p w:rsidR="00CA1FF1" w:rsidRPr="005473E2" w:rsidRDefault="00CA1FF1" w:rsidP="00CA1FF1">
      <w:pPr>
        <w:widowControl w:val="0"/>
        <w:autoSpaceDE w:val="0"/>
        <w:autoSpaceDN w:val="0"/>
        <w:ind w:left="52" w:right="32" w:firstLine="515"/>
        <w:jc w:val="both"/>
        <w:rPr>
          <w:rFonts w:cs="Times New Roman"/>
          <w:w w:val="105"/>
          <w:lang w:bidi="ru-RU"/>
        </w:rPr>
      </w:pPr>
      <w:r w:rsidRPr="005473E2">
        <w:rPr>
          <w:rFonts w:cs="Times New Roman"/>
          <w:w w:val="105"/>
          <w:lang w:bidi="ru-RU"/>
        </w:rPr>
        <w:t xml:space="preserve">Объем отгруженных товаров собственного производства крупных и средних организаций городского округа </w:t>
      </w:r>
      <w:r w:rsidRPr="005473E2">
        <w:rPr>
          <w:rFonts w:cs="Times New Roman"/>
          <w:lang w:bidi="ru-RU"/>
        </w:rPr>
        <w:t xml:space="preserve">(без организаций с численностью работающих менее 15 человек) </w:t>
      </w:r>
      <w:r w:rsidRPr="005473E2">
        <w:rPr>
          <w:rFonts w:cs="Times New Roman"/>
          <w:w w:val="105"/>
          <w:lang w:bidi="ru-RU"/>
        </w:rPr>
        <w:t xml:space="preserve">по промышленным видам деятельности составил за 2022 год                                          72,26 млрд. руб., рост по сравнению с 2021 годом 131% (в 2021 году объем отгруженных товаров составил 55,16 </w:t>
      </w:r>
      <w:proofErr w:type="spellStart"/>
      <w:r w:rsidRPr="005473E2">
        <w:rPr>
          <w:rFonts w:cs="Times New Roman"/>
          <w:w w:val="105"/>
          <w:lang w:bidi="ru-RU"/>
        </w:rPr>
        <w:t>млрд.руб</w:t>
      </w:r>
      <w:proofErr w:type="spellEnd"/>
      <w:r w:rsidRPr="005473E2">
        <w:rPr>
          <w:rFonts w:cs="Times New Roman"/>
          <w:w w:val="105"/>
          <w:lang w:bidi="ru-RU"/>
        </w:rPr>
        <w:t>.)</w:t>
      </w:r>
    </w:p>
    <w:p w:rsidR="00CA1FF1" w:rsidRPr="005473E2" w:rsidRDefault="00CA1FF1" w:rsidP="00CA1FF1">
      <w:pPr>
        <w:widowControl w:val="0"/>
        <w:autoSpaceDE w:val="0"/>
        <w:autoSpaceDN w:val="0"/>
        <w:ind w:left="52" w:right="32" w:firstLine="515"/>
        <w:jc w:val="both"/>
        <w:rPr>
          <w:rFonts w:cs="Times New Roman"/>
          <w:w w:val="105"/>
          <w:lang w:bidi="ru-RU"/>
        </w:rPr>
      </w:pPr>
      <w:r w:rsidRPr="005473E2">
        <w:rPr>
          <w:rFonts w:cs="Times New Roman"/>
          <w:w w:val="105"/>
          <w:lang w:bidi="ru-RU"/>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2022 года составляла 94,</w:t>
      </w:r>
      <w:r w:rsidR="007B1CFB" w:rsidRPr="005473E2">
        <w:rPr>
          <w:rFonts w:cs="Times New Roman"/>
          <w:w w:val="105"/>
          <w:lang w:bidi="ru-RU"/>
        </w:rPr>
        <w:t>5</w:t>
      </w:r>
      <w:r w:rsidRPr="005473E2">
        <w:rPr>
          <w:rFonts w:cs="Times New Roman"/>
          <w:w w:val="105"/>
          <w:lang w:bidi="ru-RU"/>
        </w:rPr>
        <w:t xml:space="preserve"> %. </w:t>
      </w:r>
    </w:p>
    <w:p w:rsidR="00CA1FF1" w:rsidRPr="005473E2" w:rsidRDefault="00CA1FF1" w:rsidP="00CA1FF1">
      <w:pPr>
        <w:widowControl w:val="0"/>
        <w:autoSpaceDE w:val="0"/>
        <w:autoSpaceDN w:val="0"/>
        <w:ind w:left="52" w:right="32" w:firstLine="515"/>
        <w:jc w:val="both"/>
        <w:rPr>
          <w:rFonts w:cs="Times New Roman"/>
          <w:w w:val="105"/>
          <w:lang w:bidi="ru-RU"/>
        </w:rPr>
      </w:pPr>
      <w:r w:rsidRPr="005473E2">
        <w:rPr>
          <w:rFonts w:cs="Times New Roman"/>
          <w:w w:val="105"/>
          <w:lang w:bidi="ru-RU"/>
        </w:rPr>
        <w:t>Особое влияние на рост показателя оказывают три крупнейших предприятия города АО «Машиностроительный завод» (производство ядерного топлива), АО «Металлургический завод «Электросталь» (производство стали в слитках), ОАО «</w:t>
      </w:r>
      <w:proofErr w:type="spellStart"/>
      <w:r w:rsidRPr="005473E2">
        <w:rPr>
          <w:rFonts w:cs="Times New Roman"/>
          <w:w w:val="105"/>
          <w:lang w:bidi="ru-RU"/>
        </w:rPr>
        <w:t>Электростальский</w:t>
      </w:r>
      <w:proofErr w:type="spellEnd"/>
      <w:r w:rsidRPr="005473E2">
        <w:rPr>
          <w:rFonts w:cs="Times New Roman"/>
          <w:w w:val="105"/>
          <w:lang w:bidi="ru-RU"/>
        </w:rPr>
        <w:t xml:space="preserve"> завод тяжелого машиностроения» (производство машин и оборудования для металлургии, выпускает прокатные станы для металлургической промышленности).  Объем отгруженной продукции за 2022 год у АО «МСЗ» составил 22</w:t>
      </w:r>
      <w:r w:rsidR="009C6D7A" w:rsidRPr="005473E2">
        <w:rPr>
          <w:rFonts w:cs="Times New Roman"/>
          <w:w w:val="105"/>
          <w:lang w:bidi="ru-RU"/>
        </w:rPr>
        <w:t xml:space="preserve">,26 </w:t>
      </w:r>
      <w:proofErr w:type="spellStart"/>
      <w:r w:rsidR="009C6D7A" w:rsidRPr="005473E2">
        <w:rPr>
          <w:rFonts w:cs="Times New Roman"/>
          <w:w w:val="105"/>
          <w:lang w:bidi="ru-RU"/>
        </w:rPr>
        <w:t>млрд</w:t>
      </w:r>
      <w:r w:rsidRPr="005473E2">
        <w:rPr>
          <w:rFonts w:cs="Times New Roman"/>
          <w:w w:val="105"/>
          <w:lang w:bidi="ru-RU"/>
        </w:rPr>
        <w:t>.руб</w:t>
      </w:r>
      <w:proofErr w:type="spellEnd"/>
      <w:r w:rsidRPr="005473E2">
        <w:rPr>
          <w:rFonts w:cs="Times New Roman"/>
          <w:w w:val="105"/>
          <w:lang w:bidi="ru-RU"/>
        </w:rPr>
        <w:t>. (темп роста – 144,3%), у АО МЗ «Электросталь» - 19</w:t>
      </w:r>
      <w:r w:rsidR="009C6D7A" w:rsidRPr="005473E2">
        <w:rPr>
          <w:rFonts w:cs="Times New Roman"/>
          <w:w w:val="105"/>
          <w:lang w:bidi="ru-RU"/>
        </w:rPr>
        <w:t xml:space="preserve">,04 </w:t>
      </w:r>
      <w:proofErr w:type="spellStart"/>
      <w:r w:rsidR="009C6D7A" w:rsidRPr="005473E2">
        <w:rPr>
          <w:rFonts w:cs="Times New Roman"/>
          <w:w w:val="105"/>
          <w:lang w:bidi="ru-RU"/>
        </w:rPr>
        <w:t>млрд</w:t>
      </w:r>
      <w:r w:rsidRPr="005473E2">
        <w:rPr>
          <w:rFonts w:cs="Times New Roman"/>
          <w:w w:val="105"/>
          <w:lang w:bidi="ru-RU"/>
        </w:rPr>
        <w:t>.руб</w:t>
      </w:r>
      <w:proofErr w:type="spellEnd"/>
      <w:r w:rsidRPr="005473E2">
        <w:rPr>
          <w:rFonts w:cs="Times New Roman"/>
          <w:w w:val="105"/>
          <w:lang w:bidi="ru-RU"/>
        </w:rPr>
        <w:t>. (темп роста - 136,8%), ОАО «ЭЗТМ» - 2</w:t>
      </w:r>
      <w:r w:rsidR="009C6D7A" w:rsidRPr="005473E2">
        <w:rPr>
          <w:rFonts w:cs="Times New Roman"/>
          <w:w w:val="105"/>
          <w:lang w:bidi="ru-RU"/>
        </w:rPr>
        <w:t xml:space="preserve">,74 </w:t>
      </w:r>
      <w:r w:rsidRPr="005473E2">
        <w:rPr>
          <w:rFonts w:cs="Times New Roman"/>
          <w:w w:val="105"/>
          <w:lang w:bidi="ru-RU"/>
        </w:rPr>
        <w:t>мл</w:t>
      </w:r>
      <w:r w:rsidR="009C6D7A" w:rsidRPr="005473E2">
        <w:rPr>
          <w:rFonts w:cs="Times New Roman"/>
          <w:w w:val="105"/>
          <w:lang w:bidi="ru-RU"/>
        </w:rPr>
        <w:t>рд</w:t>
      </w:r>
      <w:r w:rsidRPr="005473E2">
        <w:rPr>
          <w:rFonts w:cs="Times New Roman"/>
          <w:w w:val="105"/>
          <w:lang w:bidi="ru-RU"/>
        </w:rPr>
        <w:t>. руб. Доля этих предприятий в общем объеме отгруженной продукции по промышленным предприятиям городского округа – 60,9%.</w:t>
      </w:r>
    </w:p>
    <w:p w:rsidR="004D05C3" w:rsidRPr="005473E2" w:rsidRDefault="004D05C3" w:rsidP="004D05C3">
      <w:pPr>
        <w:widowControl w:val="0"/>
        <w:autoSpaceDE w:val="0"/>
        <w:autoSpaceDN w:val="0"/>
        <w:ind w:left="52" w:right="32" w:firstLine="515"/>
        <w:jc w:val="both"/>
        <w:rPr>
          <w:rFonts w:cs="Times New Roman"/>
          <w:w w:val="105"/>
          <w:lang w:bidi="ru-RU"/>
        </w:rPr>
      </w:pPr>
      <w:r w:rsidRPr="005473E2">
        <w:rPr>
          <w:rFonts w:cs="Times New Roman"/>
          <w:w w:val="105"/>
          <w:lang w:bidi="ru-RU"/>
        </w:rPr>
        <w:t xml:space="preserve">В январе - июне 2023 года объемы отгруженной продукции трех крупнейших предприятий городского округа продолжают увеличиваться.  АО «МСЗ» отгрузил за январь-июнь 2023 года продукции на 9,16 </w:t>
      </w:r>
      <w:proofErr w:type="spellStart"/>
      <w:r w:rsidRPr="005473E2">
        <w:rPr>
          <w:rFonts w:cs="Times New Roman"/>
          <w:w w:val="105"/>
          <w:lang w:bidi="ru-RU"/>
        </w:rPr>
        <w:t>млрд.руб</w:t>
      </w:r>
      <w:proofErr w:type="spellEnd"/>
      <w:r w:rsidRPr="005473E2">
        <w:rPr>
          <w:rFonts w:cs="Times New Roman"/>
          <w:w w:val="105"/>
          <w:lang w:bidi="ru-RU"/>
        </w:rPr>
        <w:t xml:space="preserve">. (рост по сравнению с аналогичным периодом 2022 года – 160,1%), АО МЗ «Электросталь» - 12,88 </w:t>
      </w:r>
      <w:proofErr w:type="spellStart"/>
      <w:r w:rsidRPr="005473E2">
        <w:rPr>
          <w:rFonts w:cs="Times New Roman"/>
          <w:w w:val="105"/>
          <w:lang w:bidi="ru-RU"/>
        </w:rPr>
        <w:t>млрд.руб</w:t>
      </w:r>
      <w:proofErr w:type="spellEnd"/>
      <w:r w:rsidRPr="005473E2">
        <w:rPr>
          <w:rFonts w:cs="Times New Roman"/>
          <w:w w:val="105"/>
          <w:lang w:bidi="ru-RU"/>
        </w:rPr>
        <w:t xml:space="preserve">. (темп роста – 183,3%), ОАО «ЭЗТМ» - ЭЗТМ» - 2,02 млрд. </w:t>
      </w:r>
      <w:proofErr w:type="gramStart"/>
      <w:r w:rsidRPr="005473E2">
        <w:rPr>
          <w:rFonts w:cs="Times New Roman"/>
          <w:w w:val="105"/>
          <w:lang w:bidi="ru-RU"/>
        </w:rPr>
        <w:t>руб.(</w:t>
      </w:r>
      <w:proofErr w:type="gramEnd"/>
      <w:r w:rsidRPr="005473E2">
        <w:rPr>
          <w:rFonts w:cs="Times New Roman"/>
          <w:w w:val="105"/>
          <w:lang w:bidi="ru-RU"/>
        </w:rPr>
        <w:t>темп роста – 184,3%).</w:t>
      </w:r>
    </w:p>
    <w:p w:rsidR="00CA1FF1" w:rsidRPr="005473E2" w:rsidRDefault="00CA1FF1" w:rsidP="00CA1FF1">
      <w:pPr>
        <w:widowControl w:val="0"/>
        <w:autoSpaceDE w:val="0"/>
        <w:autoSpaceDN w:val="0"/>
        <w:ind w:left="52" w:right="32" w:firstLine="515"/>
        <w:jc w:val="both"/>
        <w:rPr>
          <w:rFonts w:cs="Times New Roman"/>
          <w:w w:val="105"/>
          <w:lang w:bidi="ru-RU"/>
        </w:rPr>
      </w:pPr>
      <w:r w:rsidRPr="005473E2">
        <w:rPr>
          <w:rFonts w:cs="Times New Roman"/>
          <w:w w:val="105"/>
          <w:lang w:bidi="ru-RU"/>
        </w:rPr>
        <w:lastRenderedPageBreak/>
        <w:t xml:space="preserve">В 2023 году объем отгруженных товаров собственного производства крупных и средних предприятий и организаций городского округа </w:t>
      </w:r>
      <w:r w:rsidRPr="005473E2">
        <w:rPr>
          <w:rFonts w:cs="Times New Roman"/>
          <w:lang w:bidi="ru-RU"/>
        </w:rPr>
        <w:t xml:space="preserve">(без организаций с численностью работающих менее 15 человек) </w:t>
      </w:r>
      <w:r w:rsidRPr="005473E2">
        <w:rPr>
          <w:rFonts w:cs="Times New Roman"/>
          <w:w w:val="105"/>
          <w:lang w:bidi="ru-RU"/>
        </w:rPr>
        <w:t xml:space="preserve">по промышленным видам деятельности составит оценочно 113,35 </w:t>
      </w:r>
      <w:proofErr w:type="spellStart"/>
      <w:r w:rsidRPr="005473E2">
        <w:rPr>
          <w:rFonts w:cs="Times New Roman"/>
          <w:w w:val="105"/>
          <w:lang w:bidi="ru-RU"/>
        </w:rPr>
        <w:t>млрд.руб</w:t>
      </w:r>
      <w:proofErr w:type="spellEnd"/>
      <w:r w:rsidRPr="005473E2">
        <w:rPr>
          <w:rFonts w:cs="Times New Roman"/>
          <w:w w:val="105"/>
          <w:lang w:bidi="ru-RU"/>
        </w:rPr>
        <w:t xml:space="preserve">., рост по сравнению с 2022 годом 156,9%. Рост объемов отгруженной продукции в основном обусловлен ростом числа </w:t>
      </w:r>
      <w:proofErr w:type="spellStart"/>
      <w:r w:rsidRPr="005473E2">
        <w:rPr>
          <w:rFonts w:cs="Times New Roman"/>
          <w:w w:val="105"/>
          <w:lang w:bidi="ru-RU"/>
        </w:rPr>
        <w:t>гособоронзаказов</w:t>
      </w:r>
      <w:proofErr w:type="spellEnd"/>
      <w:r w:rsidRPr="005473E2">
        <w:rPr>
          <w:rFonts w:cs="Times New Roman"/>
          <w:w w:val="105"/>
          <w:lang w:bidi="ru-RU"/>
        </w:rPr>
        <w:t xml:space="preserve">. Основная </w:t>
      </w:r>
      <w:r w:rsidRPr="005473E2">
        <w:rPr>
          <w:rFonts w:cs="Times New Roman"/>
          <w:spacing w:val="-4"/>
          <w:w w:val="105"/>
          <w:lang w:bidi="ru-RU"/>
        </w:rPr>
        <w:t xml:space="preserve">доля </w:t>
      </w:r>
      <w:r w:rsidRPr="005473E2">
        <w:rPr>
          <w:rFonts w:cs="Times New Roman"/>
          <w:w w:val="105"/>
          <w:lang w:bidi="ru-RU"/>
        </w:rPr>
        <w:t xml:space="preserve">отгруженной продукции приходится на предприятия обрабатывающего производства, за 2023 год объем оценочно составит 109,32 </w:t>
      </w:r>
      <w:proofErr w:type="spellStart"/>
      <w:r w:rsidRPr="005473E2">
        <w:rPr>
          <w:rFonts w:cs="Times New Roman"/>
          <w:w w:val="105"/>
          <w:lang w:bidi="ru-RU"/>
        </w:rPr>
        <w:t>млрд.руб</w:t>
      </w:r>
      <w:proofErr w:type="spellEnd"/>
      <w:r w:rsidRPr="005473E2">
        <w:rPr>
          <w:rFonts w:cs="Times New Roman"/>
          <w:w w:val="105"/>
          <w:lang w:bidi="ru-RU"/>
        </w:rPr>
        <w:t xml:space="preserve">. (рост – 160%). </w:t>
      </w:r>
    </w:p>
    <w:p w:rsidR="00CA1FF1" w:rsidRPr="005473E2" w:rsidRDefault="00CA1FF1" w:rsidP="00CA1FF1">
      <w:pPr>
        <w:widowControl w:val="0"/>
        <w:autoSpaceDE w:val="0"/>
        <w:autoSpaceDN w:val="0"/>
        <w:ind w:left="52" w:right="32" w:firstLine="515"/>
        <w:jc w:val="both"/>
        <w:rPr>
          <w:rFonts w:cs="Times New Roman"/>
          <w:w w:val="105"/>
          <w:lang w:bidi="ru-RU"/>
        </w:rPr>
      </w:pPr>
      <w:r w:rsidRPr="005473E2">
        <w:rPr>
          <w:rFonts w:cs="Times New Roman"/>
          <w:w w:val="105"/>
          <w:lang w:bidi="ru-RU"/>
        </w:rPr>
        <w:t xml:space="preserve">В целом по городскому округу объем отгруженной продукции крупных и средних организаций городского округа по промышленным видам деятельности за январь-июнь 2023 года составил 54,1 </w:t>
      </w:r>
      <w:proofErr w:type="spellStart"/>
      <w:r w:rsidRPr="005473E2">
        <w:rPr>
          <w:rFonts w:cs="Times New Roman"/>
          <w:w w:val="105"/>
          <w:lang w:bidi="ru-RU"/>
        </w:rPr>
        <w:t>млрд.рублей</w:t>
      </w:r>
      <w:proofErr w:type="spellEnd"/>
      <w:r w:rsidRPr="005473E2">
        <w:rPr>
          <w:rFonts w:cs="Times New Roman"/>
          <w:w w:val="105"/>
          <w:lang w:bidi="ru-RU"/>
        </w:rPr>
        <w:t xml:space="preserve"> (тем роста по сравнению с аналогичным периодом 2022 года – 184,3%), в том числе: «Обрабатывающее производство» – 51,77 </w:t>
      </w:r>
      <w:proofErr w:type="spellStart"/>
      <w:r w:rsidRPr="005473E2">
        <w:rPr>
          <w:rFonts w:cs="Times New Roman"/>
          <w:w w:val="105"/>
          <w:lang w:bidi="ru-RU"/>
        </w:rPr>
        <w:t>млрд.руб</w:t>
      </w:r>
      <w:proofErr w:type="spellEnd"/>
      <w:r w:rsidRPr="005473E2">
        <w:rPr>
          <w:rFonts w:cs="Times New Roman"/>
          <w:w w:val="105"/>
          <w:lang w:bidi="ru-RU"/>
        </w:rPr>
        <w:t xml:space="preserve">. (темп роста – 191,1%); «Обеспечение электрической энергией, газом и паром; кондиционирование воздуха» – 1,77 (темп роста – 96,1%);  «Водоснабжение; водоотведение, организация сбора и утилизации отходов, деятельность по ликвидации загрязнений» – 0,56 </w:t>
      </w:r>
      <w:proofErr w:type="spellStart"/>
      <w:r w:rsidRPr="005473E2">
        <w:rPr>
          <w:rFonts w:cs="Times New Roman"/>
          <w:w w:val="105"/>
          <w:lang w:bidi="ru-RU"/>
        </w:rPr>
        <w:t>млн.руб</w:t>
      </w:r>
      <w:proofErr w:type="spellEnd"/>
      <w:r w:rsidRPr="005473E2">
        <w:rPr>
          <w:rFonts w:cs="Times New Roman"/>
          <w:w w:val="105"/>
          <w:lang w:bidi="ru-RU"/>
        </w:rPr>
        <w:t xml:space="preserve">. (темп роста – 117,6%). В обрабатывающем производстве наиболее высокий объем отгруженной продукции сложился по виду деятельности «Производство металлургическое» - 24,75 </w:t>
      </w:r>
      <w:proofErr w:type="spellStart"/>
      <w:r w:rsidRPr="005473E2">
        <w:rPr>
          <w:rFonts w:cs="Times New Roman"/>
          <w:w w:val="105"/>
          <w:lang w:bidi="ru-RU"/>
        </w:rPr>
        <w:t>млрд.руб</w:t>
      </w:r>
      <w:proofErr w:type="spellEnd"/>
      <w:r w:rsidRPr="005473E2">
        <w:rPr>
          <w:rFonts w:cs="Times New Roman"/>
          <w:w w:val="105"/>
          <w:lang w:bidi="ru-RU"/>
        </w:rPr>
        <w:t>. (темп роста – 140%).</w:t>
      </w:r>
    </w:p>
    <w:p w:rsidR="00CA1FF1" w:rsidRPr="005473E2" w:rsidRDefault="00CA1FF1" w:rsidP="00CA1FF1">
      <w:pPr>
        <w:widowControl w:val="0"/>
        <w:autoSpaceDE w:val="0"/>
        <w:autoSpaceDN w:val="0"/>
        <w:ind w:left="52" w:right="32" w:firstLine="515"/>
        <w:jc w:val="both"/>
        <w:rPr>
          <w:rFonts w:cs="Times New Roman"/>
          <w:b/>
          <w:lang w:bidi="ru-RU"/>
        </w:rPr>
      </w:pPr>
      <w:r w:rsidRPr="005473E2">
        <w:rPr>
          <w:rFonts w:cs="Times New Roman"/>
          <w:w w:val="105"/>
          <w:lang w:bidi="ru-RU"/>
        </w:rPr>
        <w:t xml:space="preserve">На прогнозный период 2024-2026 годов планируется умеренный рост объема отгруженной продукции промышленного производства: 2024 год – 104,8%, 2025 </w:t>
      </w:r>
      <w:r w:rsidR="007B1CFB" w:rsidRPr="005473E2">
        <w:rPr>
          <w:rFonts w:cs="Times New Roman"/>
          <w:w w:val="105"/>
          <w:lang w:bidi="ru-RU"/>
        </w:rPr>
        <w:t xml:space="preserve">год </w:t>
      </w:r>
      <w:r w:rsidRPr="005473E2">
        <w:rPr>
          <w:rFonts w:cs="Times New Roman"/>
          <w:w w:val="105"/>
          <w:lang w:bidi="ru-RU"/>
        </w:rPr>
        <w:t xml:space="preserve">– 106,1%, 2026 </w:t>
      </w:r>
      <w:r w:rsidR="007B1CFB" w:rsidRPr="005473E2">
        <w:rPr>
          <w:rFonts w:cs="Times New Roman"/>
          <w:w w:val="105"/>
          <w:lang w:bidi="ru-RU"/>
        </w:rPr>
        <w:t xml:space="preserve">год </w:t>
      </w:r>
      <w:r w:rsidRPr="005473E2">
        <w:rPr>
          <w:rFonts w:cs="Times New Roman"/>
          <w:w w:val="105"/>
          <w:lang w:bidi="ru-RU"/>
        </w:rPr>
        <w:t>– 107,2%. Важным фактором динамичного развития промышленного производства является углубление процессов модернизации промышленности, повышение эффективности использования ресурсов предприятий; увеличение загрузки производственных мощностей. Наибольшим потенциалом обладают предприятия обрабатывающего производства, которые формируют более 90% объема отгруженной продукции, выпускаемой на территории городского округа Электросталь.</w:t>
      </w:r>
    </w:p>
    <w:p w:rsidR="00CA1FF1" w:rsidRPr="005473E2" w:rsidRDefault="00CA1FF1" w:rsidP="00CA1FF1">
      <w:pPr>
        <w:ind w:firstLine="540"/>
        <w:jc w:val="both"/>
        <w:rPr>
          <w:rFonts w:cs="Times New Roman"/>
          <w:b/>
        </w:rPr>
      </w:pPr>
    </w:p>
    <w:p w:rsidR="00CA1FF1" w:rsidRPr="005473E2" w:rsidRDefault="00CA1FF1" w:rsidP="00CA1FF1">
      <w:pPr>
        <w:ind w:firstLine="540"/>
        <w:jc w:val="both"/>
        <w:rPr>
          <w:rFonts w:cs="Times New Roman"/>
          <w:b/>
        </w:rPr>
      </w:pPr>
      <w:r w:rsidRPr="005473E2">
        <w:rPr>
          <w:rFonts w:cs="Times New Roman"/>
          <w:b/>
          <w:bCs/>
        </w:rPr>
        <w:t>Малое и среднее предпринимательство</w:t>
      </w:r>
      <w:r w:rsidRPr="005473E2">
        <w:rPr>
          <w:rFonts w:cs="Times New Roman"/>
          <w:b/>
        </w:rPr>
        <w:t>.</w:t>
      </w:r>
    </w:p>
    <w:p w:rsidR="00CA1FF1" w:rsidRPr="005473E2" w:rsidRDefault="00CA1FF1" w:rsidP="00CA1FF1">
      <w:pPr>
        <w:widowControl w:val="0"/>
        <w:autoSpaceDE w:val="0"/>
        <w:autoSpaceDN w:val="0"/>
        <w:spacing w:before="23"/>
        <w:ind w:right="52" w:firstLine="567"/>
        <w:jc w:val="both"/>
        <w:rPr>
          <w:rFonts w:cs="Times New Roman"/>
          <w:lang w:bidi="ru-RU"/>
        </w:rPr>
      </w:pPr>
      <w:r w:rsidRPr="005473E2">
        <w:rPr>
          <w:rFonts w:cs="Times New Roman"/>
          <w:w w:val="105"/>
          <w:lang w:bidi="ru-RU"/>
        </w:rPr>
        <w:t>По состоянию на 1 января 2023 года в городском округе Электросталь Московской области функционировал 1881 субъект малого и среднего предпринимательства (без учета ИП) (далее – МСП).</w:t>
      </w:r>
    </w:p>
    <w:p w:rsidR="00CA1FF1" w:rsidRPr="005473E2" w:rsidRDefault="00CA1FF1" w:rsidP="00CA1FF1">
      <w:pPr>
        <w:ind w:firstLine="567"/>
        <w:jc w:val="both"/>
        <w:rPr>
          <w:rFonts w:cs="Times New Roman"/>
          <w:w w:val="105"/>
        </w:rPr>
      </w:pPr>
      <w:r w:rsidRPr="005473E2">
        <w:rPr>
          <w:rFonts w:cs="Times New Roman"/>
          <w:w w:val="105"/>
        </w:rPr>
        <w:t xml:space="preserve">Среднесписочная численность работающих в организациях МСП </w:t>
      </w:r>
      <w:r w:rsidR="007B1CFB" w:rsidRPr="005473E2">
        <w:rPr>
          <w:rFonts w:cs="Times New Roman"/>
          <w:w w:val="105"/>
        </w:rPr>
        <w:t xml:space="preserve">по итогам 2022 года составляла </w:t>
      </w:r>
      <w:r w:rsidRPr="005473E2">
        <w:rPr>
          <w:rFonts w:cs="Times New Roman"/>
          <w:w w:val="105"/>
        </w:rPr>
        <w:t>11310 человек. Среднемесячная заработная плата на предприятиях</w:t>
      </w:r>
      <w:r w:rsidR="007B1CFB" w:rsidRPr="005473E2">
        <w:rPr>
          <w:rFonts w:cs="Times New Roman"/>
          <w:w w:val="105"/>
        </w:rPr>
        <w:t xml:space="preserve"> </w:t>
      </w:r>
      <w:r w:rsidR="0060369F" w:rsidRPr="005473E2">
        <w:rPr>
          <w:rFonts w:cs="Times New Roman"/>
          <w:w w:val="105"/>
        </w:rPr>
        <w:t xml:space="preserve">МСП </w:t>
      </w:r>
      <w:r w:rsidR="007B1CFB" w:rsidRPr="005473E2">
        <w:rPr>
          <w:rFonts w:cs="Times New Roman"/>
          <w:w w:val="105"/>
        </w:rPr>
        <w:t>по итогам 2022 года составляла</w:t>
      </w:r>
      <w:r w:rsidRPr="005473E2">
        <w:rPr>
          <w:rFonts w:cs="Times New Roman"/>
          <w:w w:val="105"/>
        </w:rPr>
        <w:t xml:space="preserve"> – 42808 руб. 33% налоговых поступлений в доход местного бюджета приходится на поступления от деятельности субъектов МСП.</w:t>
      </w:r>
    </w:p>
    <w:p w:rsidR="00CA1FF1" w:rsidRPr="005473E2" w:rsidRDefault="00CA1FF1" w:rsidP="00CA1FF1">
      <w:pPr>
        <w:ind w:firstLine="567"/>
        <w:jc w:val="both"/>
        <w:rPr>
          <w:rFonts w:cs="Times New Roman"/>
          <w:w w:val="105"/>
        </w:rPr>
      </w:pPr>
      <w:r w:rsidRPr="005473E2">
        <w:rPr>
          <w:rFonts w:cs="Times New Roman"/>
          <w:w w:val="105"/>
        </w:rPr>
        <w:t xml:space="preserve">Снижение численности субъектов МСП обусловлено неустойчивой экономической ситуацией, вызванной влиянием ранее введенных ограничительных мер по борьбе с </w:t>
      </w:r>
      <w:proofErr w:type="spellStart"/>
      <w:r w:rsidRPr="005473E2">
        <w:rPr>
          <w:rFonts w:cs="Times New Roman"/>
          <w:w w:val="105"/>
        </w:rPr>
        <w:t>короновирусной</w:t>
      </w:r>
      <w:proofErr w:type="spellEnd"/>
      <w:r w:rsidRPr="005473E2">
        <w:rPr>
          <w:rFonts w:cs="Times New Roman"/>
          <w:w w:val="105"/>
        </w:rPr>
        <w:t xml:space="preserve"> инфекцией и </w:t>
      </w:r>
      <w:proofErr w:type="spellStart"/>
      <w:r w:rsidRPr="005473E2">
        <w:rPr>
          <w:rFonts w:cs="Times New Roman"/>
          <w:w w:val="105"/>
        </w:rPr>
        <w:t>санкционной</w:t>
      </w:r>
      <w:proofErr w:type="spellEnd"/>
      <w:r w:rsidRPr="005473E2">
        <w:rPr>
          <w:rFonts w:cs="Times New Roman"/>
          <w:w w:val="105"/>
        </w:rPr>
        <w:t xml:space="preserve"> политикой западных стран против Российской Федерации.</w:t>
      </w:r>
    </w:p>
    <w:p w:rsidR="00CA1FF1" w:rsidRPr="005473E2" w:rsidRDefault="00CA1FF1" w:rsidP="00CA1FF1">
      <w:pPr>
        <w:ind w:firstLine="567"/>
        <w:jc w:val="both"/>
        <w:rPr>
          <w:rFonts w:cs="Times New Roman"/>
          <w:w w:val="105"/>
        </w:rPr>
      </w:pPr>
      <w:r w:rsidRPr="005473E2">
        <w:rPr>
          <w:rFonts w:cs="Times New Roman"/>
          <w:w w:val="105"/>
        </w:rPr>
        <w:t xml:space="preserve">Несмотря на меры государственной поддержки, оказываемой субъектам малого предпринимательства в 2023 году продолжается тенденция к </w:t>
      </w:r>
      <w:proofErr w:type="gramStart"/>
      <w:r w:rsidRPr="005473E2">
        <w:rPr>
          <w:rFonts w:cs="Times New Roman"/>
          <w:w w:val="105"/>
        </w:rPr>
        <w:t>снижению  численности</w:t>
      </w:r>
      <w:proofErr w:type="gramEnd"/>
      <w:r w:rsidRPr="005473E2">
        <w:rPr>
          <w:rFonts w:cs="Times New Roman"/>
          <w:w w:val="105"/>
        </w:rPr>
        <w:t xml:space="preserve"> МСП. Малый бизнес городского округа Электросталь в своем большинстве смог адаптироваться к текущим кризисным условиям, но говорить о полном восстановлении пока преждевременно.</w:t>
      </w:r>
      <w:r w:rsidRPr="005473E2">
        <w:rPr>
          <w:rFonts w:ascii="Tahoma" w:hAnsi="Tahoma" w:cs="Times New Roman"/>
        </w:rPr>
        <w:t xml:space="preserve"> </w:t>
      </w:r>
    </w:p>
    <w:p w:rsidR="00CA1FF1" w:rsidRPr="005473E2" w:rsidRDefault="00CA1FF1" w:rsidP="00CA1FF1">
      <w:pPr>
        <w:ind w:firstLine="567"/>
        <w:jc w:val="both"/>
        <w:rPr>
          <w:rFonts w:cs="Times New Roman"/>
          <w:w w:val="105"/>
        </w:rPr>
      </w:pPr>
      <w:r w:rsidRPr="005473E2">
        <w:rPr>
          <w:rFonts w:cs="Times New Roman"/>
          <w:w w:val="105"/>
        </w:rPr>
        <w:t>В связи с неустойчивой экономической ситуаций из-за введения санкций против Российской Федерации в 2024 году планируется незначительное снижение численности юридических лиц. В последующих годах в связи с поэтапным восстановлением экономики планируется незначительный рост предприятий за счет реализации инвестиционных проектов, развития индустриальных парков и привлечения на территорию городского округа дополнительных резидентов.</w:t>
      </w:r>
    </w:p>
    <w:p w:rsidR="00CA1FF1" w:rsidRPr="005473E2" w:rsidRDefault="00CA1FF1" w:rsidP="00CA1FF1">
      <w:pPr>
        <w:ind w:firstLine="567"/>
        <w:jc w:val="both"/>
        <w:rPr>
          <w:rFonts w:cs="Times New Roman"/>
          <w:w w:val="105"/>
        </w:rPr>
      </w:pPr>
      <w:r w:rsidRPr="005473E2">
        <w:rPr>
          <w:rFonts w:cs="Times New Roman"/>
          <w:w w:val="105"/>
        </w:rPr>
        <w:lastRenderedPageBreak/>
        <w:t xml:space="preserve">В городском округе Электросталь разработана и действует муниципальная программа поддержки предпринимательства, в рамках программы предусмотрена финансовая, имущественная и информационная поддержка. </w:t>
      </w:r>
    </w:p>
    <w:p w:rsidR="00CA1FF1" w:rsidRPr="005473E2" w:rsidRDefault="00CA1FF1" w:rsidP="00CA1FF1">
      <w:pPr>
        <w:ind w:firstLine="567"/>
        <w:jc w:val="both"/>
        <w:rPr>
          <w:rFonts w:cs="Times New Roman"/>
          <w:w w:val="105"/>
        </w:rPr>
      </w:pPr>
      <w:r w:rsidRPr="005473E2">
        <w:rPr>
          <w:rFonts w:cs="Times New Roman"/>
          <w:w w:val="105"/>
        </w:rPr>
        <w:t xml:space="preserve">В 2022 году </w:t>
      </w:r>
      <w:r w:rsidR="007B1CFB" w:rsidRPr="005473E2">
        <w:rPr>
          <w:rFonts w:cs="Times New Roman"/>
          <w:w w:val="105"/>
        </w:rPr>
        <w:t>объем финансирования</w:t>
      </w:r>
      <w:r w:rsidRPr="005473E2">
        <w:rPr>
          <w:rFonts w:cs="Times New Roman"/>
          <w:w w:val="105"/>
        </w:rPr>
        <w:t xml:space="preserve"> мероприятия программы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составил 1 </w:t>
      </w:r>
      <w:proofErr w:type="spellStart"/>
      <w:r w:rsidRPr="005473E2">
        <w:rPr>
          <w:rFonts w:cs="Times New Roman"/>
          <w:w w:val="105"/>
        </w:rPr>
        <w:t>млн.рублей</w:t>
      </w:r>
      <w:proofErr w:type="spellEnd"/>
      <w:r w:rsidRPr="005473E2">
        <w:rPr>
          <w:rFonts w:cs="Times New Roman"/>
          <w:w w:val="105"/>
        </w:rPr>
        <w:t>.</w:t>
      </w:r>
    </w:p>
    <w:p w:rsidR="00CA1FF1" w:rsidRPr="005473E2" w:rsidRDefault="00CA1FF1" w:rsidP="00CA1FF1">
      <w:pPr>
        <w:ind w:firstLine="567"/>
        <w:jc w:val="both"/>
        <w:rPr>
          <w:rFonts w:cs="Times New Roman"/>
          <w:b/>
          <w:bCs/>
          <w:spacing w:val="-1"/>
        </w:rPr>
      </w:pPr>
    </w:p>
    <w:p w:rsidR="00CA1FF1" w:rsidRPr="005473E2" w:rsidRDefault="00CA1FF1" w:rsidP="00CA1FF1">
      <w:pPr>
        <w:ind w:firstLine="540"/>
        <w:jc w:val="both"/>
        <w:rPr>
          <w:rFonts w:cs="Times New Roman"/>
          <w:b/>
          <w:bCs/>
          <w:spacing w:val="-1"/>
        </w:rPr>
      </w:pPr>
      <w:r w:rsidRPr="005473E2">
        <w:rPr>
          <w:rFonts w:cs="Times New Roman"/>
          <w:b/>
          <w:bCs/>
          <w:spacing w:val="-1"/>
        </w:rPr>
        <w:t>Инвестиции.</w:t>
      </w:r>
    </w:p>
    <w:p w:rsidR="00CA1FF1" w:rsidRPr="005473E2" w:rsidRDefault="00CA1FF1" w:rsidP="00CA1FF1">
      <w:pPr>
        <w:widowControl w:val="0"/>
        <w:autoSpaceDE w:val="0"/>
        <w:autoSpaceDN w:val="0"/>
        <w:ind w:right="56" w:firstLine="567"/>
        <w:jc w:val="both"/>
        <w:rPr>
          <w:rFonts w:cs="Times New Roman"/>
          <w:w w:val="105"/>
          <w:lang w:bidi="ru-RU"/>
        </w:rPr>
      </w:pPr>
      <w:r w:rsidRPr="005473E2">
        <w:rPr>
          <w:rFonts w:cs="Times New Roman"/>
          <w:w w:val="105"/>
          <w:lang w:bidi="ru-RU"/>
        </w:rPr>
        <w:t xml:space="preserve">В 2022 году объем инвестиций в основной капитал за счет всех источников финансирования по городскому округу Электросталь составил 14,56 млрд. руб., </w:t>
      </w:r>
      <w:r w:rsidR="00BD10AF" w:rsidRPr="005473E2">
        <w:rPr>
          <w:rFonts w:cs="Times New Roman"/>
          <w:w w:val="105"/>
          <w:lang w:bidi="ru-RU"/>
        </w:rPr>
        <w:t>индекс физического объема</w:t>
      </w:r>
      <w:r w:rsidRPr="005473E2">
        <w:rPr>
          <w:rFonts w:cs="Times New Roman"/>
          <w:w w:val="105"/>
          <w:lang w:bidi="ru-RU"/>
        </w:rPr>
        <w:t xml:space="preserve"> </w:t>
      </w:r>
      <w:r w:rsidR="00BD10AF" w:rsidRPr="005473E2">
        <w:rPr>
          <w:rFonts w:cs="Times New Roman"/>
          <w:w w:val="105"/>
          <w:lang w:bidi="ru-RU"/>
        </w:rPr>
        <w:t>составил</w:t>
      </w:r>
      <w:r w:rsidRPr="005473E2">
        <w:rPr>
          <w:rFonts w:cs="Times New Roman"/>
          <w:w w:val="105"/>
          <w:lang w:bidi="ru-RU"/>
        </w:rPr>
        <w:t xml:space="preserve"> 124 %</w:t>
      </w:r>
      <w:r w:rsidR="00977AD6" w:rsidRPr="005473E2">
        <w:rPr>
          <w:rFonts w:cs="Times New Roman"/>
          <w:w w:val="105"/>
          <w:lang w:bidi="ru-RU"/>
        </w:rPr>
        <w:t xml:space="preserve"> (уровень инфляции -116,9%)</w:t>
      </w:r>
      <w:r w:rsidRPr="005473E2">
        <w:rPr>
          <w:rFonts w:cs="Times New Roman"/>
          <w:w w:val="105"/>
          <w:lang w:bidi="ru-RU"/>
        </w:rPr>
        <w:t xml:space="preserve">. По крупным и средним организациям объем инвестиций составил 14,42 </w:t>
      </w:r>
      <w:proofErr w:type="spellStart"/>
      <w:r w:rsidRPr="005473E2">
        <w:rPr>
          <w:rFonts w:cs="Times New Roman"/>
          <w:w w:val="105"/>
          <w:lang w:bidi="ru-RU"/>
        </w:rPr>
        <w:t>мрд.руб</w:t>
      </w:r>
      <w:proofErr w:type="spellEnd"/>
      <w:r w:rsidRPr="005473E2">
        <w:rPr>
          <w:rFonts w:cs="Times New Roman"/>
          <w:w w:val="105"/>
          <w:lang w:bidi="ru-RU"/>
        </w:rPr>
        <w:t xml:space="preserve">., по малым и </w:t>
      </w:r>
      <w:proofErr w:type="spellStart"/>
      <w:r w:rsidRPr="005473E2">
        <w:rPr>
          <w:rFonts w:cs="Times New Roman"/>
          <w:w w:val="105"/>
          <w:lang w:bidi="ru-RU"/>
        </w:rPr>
        <w:t>микропредприятиям</w:t>
      </w:r>
      <w:proofErr w:type="spellEnd"/>
      <w:r w:rsidRPr="005473E2">
        <w:rPr>
          <w:rFonts w:cs="Times New Roman"/>
          <w:w w:val="105"/>
          <w:lang w:bidi="ru-RU"/>
        </w:rPr>
        <w:t xml:space="preserve"> – 0,13 </w:t>
      </w:r>
      <w:proofErr w:type="spellStart"/>
      <w:r w:rsidRPr="005473E2">
        <w:rPr>
          <w:rFonts w:cs="Times New Roman"/>
          <w:w w:val="105"/>
          <w:lang w:bidi="ru-RU"/>
        </w:rPr>
        <w:t>млрд.руб</w:t>
      </w:r>
      <w:proofErr w:type="spellEnd"/>
      <w:r w:rsidRPr="005473E2">
        <w:rPr>
          <w:rFonts w:cs="Times New Roman"/>
          <w:w w:val="105"/>
          <w:lang w:bidi="ru-RU"/>
        </w:rPr>
        <w:t>.</w:t>
      </w:r>
    </w:p>
    <w:p w:rsidR="00CA1FF1" w:rsidRPr="005473E2" w:rsidRDefault="00CA1FF1" w:rsidP="00CA1FF1">
      <w:pPr>
        <w:widowControl w:val="0"/>
        <w:autoSpaceDE w:val="0"/>
        <w:autoSpaceDN w:val="0"/>
        <w:ind w:right="42" w:firstLine="567"/>
        <w:jc w:val="both"/>
        <w:rPr>
          <w:rFonts w:cs="Times New Roman"/>
          <w:w w:val="105"/>
          <w:lang w:bidi="ru-RU"/>
        </w:rPr>
      </w:pPr>
      <w:r w:rsidRPr="005473E2">
        <w:rPr>
          <w:rFonts w:cs="Times New Roman"/>
          <w:w w:val="105"/>
          <w:lang w:bidi="ru-RU"/>
        </w:rPr>
        <w:t xml:space="preserve">В 2022 </w:t>
      </w:r>
      <w:r w:rsidR="007B1CFB" w:rsidRPr="005473E2">
        <w:rPr>
          <w:rFonts w:cs="Times New Roman"/>
          <w:w w:val="105"/>
          <w:lang w:bidi="ru-RU"/>
        </w:rPr>
        <w:t>году продолжилось</w:t>
      </w:r>
      <w:r w:rsidRPr="005473E2">
        <w:rPr>
          <w:rFonts w:cs="Times New Roman"/>
          <w:w w:val="105"/>
          <w:lang w:bidi="ru-RU"/>
        </w:rPr>
        <w:t xml:space="preserve"> строительство центра </w:t>
      </w:r>
      <w:proofErr w:type="spellStart"/>
      <w:r w:rsidRPr="005473E2">
        <w:rPr>
          <w:rFonts w:cs="Times New Roman"/>
          <w:w w:val="105"/>
          <w:lang w:bidi="ru-RU"/>
        </w:rPr>
        <w:t>омниканальной</w:t>
      </w:r>
      <w:proofErr w:type="spellEnd"/>
      <w:r w:rsidRPr="005473E2">
        <w:rPr>
          <w:rFonts w:cs="Times New Roman"/>
          <w:w w:val="105"/>
          <w:lang w:bidi="ru-RU"/>
        </w:rPr>
        <w:t xml:space="preserve"> торговли «</w:t>
      </w:r>
      <w:proofErr w:type="spellStart"/>
      <w:r w:rsidRPr="005473E2">
        <w:rPr>
          <w:rFonts w:cs="Times New Roman"/>
          <w:w w:val="105"/>
          <w:lang w:bidi="ru-RU"/>
        </w:rPr>
        <w:t>Вайлберриз</w:t>
      </w:r>
      <w:proofErr w:type="spellEnd"/>
      <w:r w:rsidRPr="005473E2">
        <w:rPr>
          <w:rFonts w:cs="Times New Roman"/>
          <w:w w:val="105"/>
          <w:lang w:bidi="ru-RU"/>
        </w:rPr>
        <w:t>», объем инвестиций за 2022</w:t>
      </w:r>
      <w:r w:rsidR="007B1CFB" w:rsidRPr="005473E2">
        <w:rPr>
          <w:rFonts w:cs="Times New Roman"/>
          <w:w w:val="105"/>
          <w:lang w:bidi="ru-RU"/>
        </w:rPr>
        <w:t xml:space="preserve"> </w:t>
      </w:r>
      <w:r w:rsidRPr="005473E2">
        <w:rPr>
          <w:rFonts w:cs="Times New Roman"/>
          <w:w w:val="105"/>
          <w:lang w:bidi="ru-RU"/>
        </w:rPr>
        <w:t xml:space="preserve">г. составил 9,069 </w:t>
      </w:r>
      <w:proofErr w:type="spellStart"/>
      <w:r w:rsidRPr="005473E2">
        <w:rPr>
          <w:rFonts w:cs="Times New Roman"/>
          <w:w w:val="105"/>
          <w:lang w:bidi="ru-RU"/>
        </w:rPr>
        <w:t>млрд.руб</w:t>
      </w:r>
      <w:proofErr w:type="spellEnd"/>
      <w:r w:rsidRPr="005473E2">
        <w:rPr>
          <w:rFonts w:cs="Times New Roman"/>
          <w:w w:val="105"/>
          <w:lang w:bidi="ru-RU"/>
        </w:rPr>
        <w:t>. Также значительный объем инвестиций освоили предприятия городского округа, осуществляющие свою деятельность в сфере обрабатывающего производства, в том числе АО «МСЗ» - годовой объем инвестиций составил 1,9 млрд. руб.</w:t>
      </w:r>
    </w:p>
    <w:p w:rsidR="00CA1FF1" w:rsidRPr="005473E2" w:rsidRDefault="00CA1FF1" w:rsidP="00CA1FF1">
      <w:pPr>
        <w:widowControl w:val="0"/>
        <w:autoSpaceDE w:val="0"/>
        <w:autoSpaceDN w:val="0"/>
        <w:ind w:right="42" w:firstLine="567"/>
        <w:jc w:val="both"/>
        <w:rPr>
          <w:rFonts w:cs="Times New Roman"/>
          <w:w w:val="105"/>
          <w:lang w:bidi="ru-RU"/>
        </w:rPr>
      </w:pPr>
      <w:r w:rsidRPr="005473E2">
        <w:rPr>
          <w:rFonts w:cs="Times New Roman"/>
          <w:w w:val="105"/>
          <w:lang w:bidi="ru-RU"/>
        </w:rPr>
        <w:t xml:space="preserve">В 2022 году продолжилось строительство производственного комплекса по изготовлению </w:t>
      </w:r>
      <w:proofErr w:type="spellStart"/>
      <w:r w:rsidRPr="005473E2">
        <w:rPr>
          <w:rFonts w:cs="Times New Roman"/>
          <w:w w:val="105"/>
          <w:lang w:bidi="ru-RU"/>
        </w:rPr>
        <w:t>полотенцесушителей</w:t>
      </w:r>
      <w:proofErr w:type="spellEnd"/>
      <w:r w:rsidRPr="005473E2">
        <w:rPr>
          <w:rFonts w:cs="Times New Roman"/>
          <w:w w:val="105"/>
          <w:lang w:bidi="ru-RU"/>
        </w:rPr>
        <w:t xml:space="preserve"> ООО «ЭНЕРГЕТИК», объем инвестиций за 2022 год составил 1,3 млрд. руб., продолжается реализовываться проект по строительству магазина цветов ИП </w:t>
      </w:r>
      <w:proofErr w:type="spellStart"/>
      <w:r w:rsidRPr="005473E2">
        <w:rPr>
          <w:rFonts w:cs="Times New Roman"/>
          <w:w w:val="105"/>
          <w:lang w:bidi="ru-RU"/>
        </w:rPr>
        <w:t>Терскова</w:t>
      </w:r>
      <w:proofErr w:type="spellEnd"/>
      <w:r w:rsidRPr="005473E2">
        <w:rPr>
          <w:rFonts w:cs="Times New Roman"/>
          <w:w w:val="105"/>
          <w:lang w:bidi="ru-RU"/>
        </w:rPr>
        <w:t xml:space="preserve"> Ирина Владимировна, инвестиции составили 7 млн. руб.; провели реконструкцию автозаправочного комплекса ООО «Торговый Дом </w:t>
      </w:r>
      <w:proofErr w:type="spellStart"/>
      <w:r w:rsidRPr="005473E2">
        <w:rPr>
          <w:rFonts w:cs="Times New Roman"/>
          <w:w w:val="105"/>
          <w:lang w:bidi="ru-RU"/>
        </w:rPr>
        <w:t>Нефтьмагистраль</w:t>
      </w:r>
      <w:proofErr w:type="spellEnd"/>
      <w:r w:rsidRPr="005473E2">
        <w:rPr>
          <w:rFonts w:cs="Times New Roman"/>
          <w:w w:val="105"/>
          <w:lang w:bidi="ru-RU"/>
        </w:rPr>
        <w:t xml:space="preserve">», объем инвестиций за 2022 год составил 144  млн. руб., завершилось строительство производственно-складского здания ЗАО ТПК «ЭЛКО», площадью                   7 800 </w:t>
      </w:r>
      <w:proofErr w:type="spellStart"/>
      <w:r w:rsidRPr="005473E2">
        <w:rPr>
          <w:rFonts w:cs="Times New Roman"/>
          <w:w w:val="105"/>
          <w:lang w:bidi="ru-RU"/>
        </w:rPr>
        <w:t>кв.м</w:t>
      </w:r>
      <w:proofErr w:type="spellEnd"/>
      <w:r w:rsidRPr="005473E2">
        <w:rPr>
          <w:rFonts w:cs="Times New Roman"/>
          <w:w w:val="105"/>
          <w:lang w:bidi="ru-RU"/>
        </w:rPr>
        <w:t>., объем инвестиций составил 306,9 млн. руб., продолжилось строительство производственно-складского комплекса ООО «</w:t>
      </w:r>
      <w:proofErr w:type="spellStart"/>
      <w:r w:rsidRPr="005473E2">
        <w:rPr>
          <w:rFonts w:cs="Times New Roman"/>
          <w:w w:val="105"/>
          <w:lang w:bidi="ru-RU"/>
        </w:rPr>
        <w:t>МасТТех</w:t>
      </w:r>
      <w:proofErr w:type="spellEnd"/>
      <w:r w:rsidRPr="005473E2">
        <w:rPr>
          <w:rFonts w:cs="Times New Roman"/>
          <w:w w:val="105"/>
          <w:lang w:bidi="ru-RU"/>
        </w:rPr>
        <w:t xml:space="preserve">», объем инвестиций за 2022 год  10,6  млн. руб., продолжилась реконструкция существующих зданий                                           ООО «М.Р.И.С. Групп»,  объем инвестиций за 2022 год - 70,0 </w:t>
      </w:r>
      <w:proofErr w:type="spellStart"/>
      <w:r w:rsidRPr="005473E2">
        <w:rPr>
          <w:rFonts w:cs="Times New Roman"/>
          <w:w w:val="105"/>
          <w:lang w:bidi="ru-RU"/>
        </w:rPr>
        <w:t>млн.руб</w:t>
      </w:r>
      <w:proofErr w:type="spellEnd"/>
      <w:r w:rsidRPr="005473E2">
        <w:rPr>
          <w:rFonts w:cs="Times New Roman"/>
          <w:w w:val="105"/>
          <w:lang w:bidi="ru-RU"/>
        </w:rPr>
        <w:t xml:space="preserve">. </w:t>
      </w:r>
    </w:p>
    <w:p w:rsidR="00CA1FF1" w:rsidRPr="005473E2" w:rsidRDefault="007B1CFB" w:rsidP="00CA1FF1">
      <w:pPr>
        <w:widowControl w:val="0"/>
        <w:autoSpaceDE w:val="0"/>
        <w:autoSpaceDN w:val="0"/>
        <w:ind w:right="42" w:firstLine="567"/>
        <w:jc w:val="both"/>
        <w:rPr>
          <w:rFonts w:cs="Times New Roman"/>
          <w:w w:val="105"/>
          <w:lang w:bidi="ru-RU"/>
        </w:rPr>
      </w:pPr>
      <w:r w:rsidRPr="005473E2">
        <w:rPr>
          <w:rFonts w:cs="Times New Roman"/>
          <w:w w:val="105"/>
          <w:lang w:bidi="ru-RU"/>
        </w:rPr>
        <w:t>Кроме того,</w:t>
      </w:r>
      <w:r w:rsidR="00CA1FF1" w:rsidRPr="005473E2">
        <w:rPr>
          <w:rFonts w:cs="Times New Roman"/>
          <w:w w:val="105"/>
          <w:lang w:bidi="ru-RU"/>
        </w:rPr>
        <w:t xml:space="preserve"> в 2022 году продолжилась реализация проекта по созданию производства компьютеров, электронных и оптических изделий ООО «Дэнни», началась реализация проекта по строительству медицинского центра ООО «</w:t>
      </w:r>
      <w:proofErr w:type="spellStart"/>
      <w:r w:rsidR="00CA1FF1" w:rsidRPr="005473E2">
        <w:rPr>
          <w:rFonts w:cs="Times New Roman"/>
          <w:w w:val="105"/>
          <w:lang w:bidi="ru-RU"/>
        </w:rPr>
        <w:t>Эльвизус</w:t>
      </w:r>
      <w:proofErr w:type="spellEnd"/>
      <w:r w:rsidR="00CA1FF1" w:rsidRPr="005473E2">
        <w:rPr>
          <w:rFonts w:cs="Times New Roman"/>
          <w:w w:val="105"/>
          <w:lang w:bidi="ru-RU"/>
        </w:rPr>
        <w:t>».</w:t>
      </w:r>
    </w:p>
    <w:p w:rsidR="00CA1FF1" w:rsidRPr="005473E2" w:rsidRDefault="00CA1FF1" w:rsidP="00CA1FF1">
      <w:pPr>
        <w:ind w:firstLine="567"/>
        <w:jc w:val="both"/>
        <w:rPr>
          <w:rFonts w:cs="Times New Roman"/>
          <w:w w:val="105"/>
          <w:lang w:bidi="ru-RU"/>
        </w:rPr>
      </w:pPr>
      <w:r w:rsidRPr="005473E2">
        <w:rPr>
          <w:rFonts w:cs="Times New Roman"/>
          <w:w w:val="105"/>
          <w:lang w:bidi="ru-RU"/>
        </w:rPr>
        <w:t xml:space="preserve">В первом </w:t>
      </w:r>
      <w:r w:rsidR="007B1CFB" w:rsidRPr="005473E2">
        <w:rPr>
          <w:rFonts w:cs="Times New Roman"/>
          <w:w w:val="105"/>
          <w:lang w:bidi="ru-RU"/>
        </w:rPr>
        <w:t>полугодии</w:t>
      </w:r>
      <w:r w:rsidRPr="005473E2">
        <w:rPr>
          <w:rFonts w:cs="Times New Roman"/>
          <w:w w:val="105"/>
          <w:lang w:bidi="ru-RU"/>
        </w:rPr>
        <w:t xml:space="preserve"> 2023 года объем инвестиций по крупным и средним организациям городского округа составил 1,96 </w:t>
      </w:r>
      <w:proofErr w:type="spellStart"/>
      <w:r w:rsidRPr="005473E2">
        <w:rPr>
          <w:rFonts w:cs="Times New Roman"/>
          <w:w w:val="105"/>
          <w:lang w:bidi="ru-RU"/>
        </w:rPr>
        <w:t>млрд.руб</w:t>
      </w:r>
      <w:proofErr w:type="spellEnd"/>
      <w:r w:rsidRPr="005473E2">
        <w:rPr>
          <w:rFonts w:cs="Times New Roman"/>
          <w:w w:val="105"/>
          <w:lang w:bidi="ru-RU"/>
        </w:rPr>
        <w:t xml:space="preserve">., снижение по сравнению с аналогичным периодом 2022 года </w:t>
      </w:r>
      <w:r w:rsidR="004D05C3" w:rsidRPr="005473E2">
        <w:rPr>
          <w:rFonts w:cs="Times New Roman"/>
          <w:w w:val="105"/>
          <w:lang w:bidi="ru-RU"/>
        </w:rPr>
        <w:t>на</w:t>
      </w:r>
      <w:r w:rsidRPr="005473E2">
        <w:rPr>
          <w:rFonts w:cs="Times New Roman"/>
          <w:w w:val="105"/>
          <w:lang w:bidi="ru-RU"/>
        </w:rPr>
        <w:t xml:space="preserve"> </w:t>
      </w:r>
      <w:r w:rsidRPr="005473E2">
        <w:rPr>
          <w:rFonts w:cs="Times New Roman"/>
          <w:color w:val="FF0000"/>
          <w:w w:val="105"/>
          <w:lang w:bidi="ru-RU"/>
        </w:rPr>
        <w:t>77,</w:t>
      </w:r>
      <w:r w:rsidR="00BD10AF" w:rsidRPr="005473E2">
        <w:rPr>
          <w:rFonts w:cs="Times New Roman"/>
          <w:color w:val="FF0000"/>
          <w:w w:val="105"/>
          <w:lang w:bidi="ru-RU"/>
        </w:rPr>
        <w:t>83</w:t>
      </w:r>
      <w:r w:rsidRPr="005473E2">
        <w:rPr>
          <w:rFonts w:cs="Times New Roman"/>
          <w:color w:val="FF0000"/>
          <w:w w:val="105"/>
          <w:lang w:bidi="ru-RU"/>
        </w:rPr>
        <w:t xml:space="preserve">%. </w:t>
      </w:r>
      <w:r w:rsidRPr="005473E2">
        <w:rPr>
          <w:rFonts w:cs="Times New Roman"/>
          <w:w w:val="105"/>
          <w:lang w:bidi="ru-RU"/>
        </w:rPr>
        <w:t>Причина снижения - уменьшение объемов инвестиций ООО «</w:t>
      </w:r>
      <w:proofErr w:type="spellStart"/>
      <w:r w:rsidRPr="005473E2">
        <w:rPr>
          <w:rFonts w:cs="Times New Roman"/>
          <w:w w:val="105"/>
          <w:lang w:bidi="ru-RU"/>
        </w:rPr>
        <w:t>Вайлдберриз</w:t>
      </w:r>
      <w:proofErr w:type="spellEnd"/>
      <w:r w:rsidRPr="005473E2">
        <w:rPr>
          <w:rFonts w:cs="Times New Roman"/>
          <w:w w:val="105"/>
          <w:lang w:bidi="ru-RU"/>
        </w:rPr>
        <w:t>». Основной объем инвестиций был освоен компанией в 2022 году, в 2023 году планируется ввод в эксплуатация построенных складов и центра обработки данных. Кроме того, планируется продолжать модернизацию производства средств защиты органов дыхания ОАО «ЭХМЗ им. Н.Д. Зелинского», реконструкцию и модернизацию предприятия атомной отрасли АО «Машиностроительный завод</w:t>
      </w:r>
      <w:r w:rsidR="007B1CFB" w:rsidRPr="005473E2">
        <w:rPr>
          <w:rFonts w:cs="Times New Roman"/>
          <w:w w:val="105"/>
          <w:lang w:bidi="ru-RU"/>
        </w:rPr>
        <w:t>», модернизацию</w:t>
      </w:r>
      <w:r w:rsidRPr="005473E2">
        <w:rPr>
          <w:rFonts w:cs="Times New Roman"/>
          <w:w w:val="105"/>
          <w:lang w:bidi="ru-RU"/>
        </w:rPr>
        <w:t xml:space="preserve"> и техническое</w:t>
      </w:r>
      <w:r w:rsidR="00B46121" w:rsidRPr="005473E2">
        <w:rPr>
          <w:rFonts w:cs="Times New Roman"/>
          <w:w w:val="105"/>
          <w:lang w:bidi="ru-RU"/>
        </w:rPr>
        <w:t xml:space="preserve"> </w:t>
      </w:r>
      <w:r w:rsidRPr="005473E2">
        <w:rPr>
          <w:rFonts w:cs="Times New Roman"/>
          <w:w w:val="105"/>
          <w:lang w:bidi="ru-RU"/>
        </w:rPr>
        <w:t>перевооружение металлургического производства</w:t>
      </w:r>
      <w:r w:rsidR="007B1CFB" w:rsidRPr="005473E2">
        <w:rPr>
          <w:rFonts w:cs="Times New Roman"/>
          <w:w w:val="105"/>
          <w:lang w:bidi="ru-RU"/>
        </w:rPr>
        <w:t xml:space="preserve"> </w:t>
      </w:r>
      <w:r w:rsidR="00B46121" w:rsidRPr="005473E2">
        <w:rPr>
          <w:rFonts w:cs="Times New Roman"/>
          <w:w w:val="105"/>
          <w:lang w:bidi="ru-RU"/>
        </w:rPr>
        <w:t>А</w:t>
      </w:r>
      <w:r w:rsidRPr="005473E2">
        <w:rPr>
          <w:rFonts w:cs="Times New Roman"/>
          <w:w w:val="105"/>
          <w:lang w:bidi="ru-RU"/>
        </w:rPr>
        <w:t>О «Металлургический завод «Электросталь».</w:t>
      </w:r>
    </w:p>
    <w:p w:rsidR="00CA1FF1" w:rsidRPr="005473E2" w:rsidRDefault="00CA1FF1" w:rsidP="00CA1FF1">
      <w:pPr>
        <w:ind w:firstLine="567"/>
        <w:jc w:val="both"/>
        <w:rPr>
          <w:rFonts w:cs="Times New Roman"/>
          <w:w w:val="105"/>
          <w:lang w:bidi="ru-RU"/>
        </w:rPr>
      </w:pPr>
      <w:r w:rsidRPr="005473E2">
        <w:rPr>
          <w:rFonts w:cs="Times New Roman"/>
          <w:w w:val="105"/>
          <w:lang w:bidi="ru-RU"/>
        </w:rPr>
        <w:t>В малом предпринимательстве в 2023 году плани</w:t>
      </w:r>
      <w:r w:rsidR="007B1CFB" w:rsidRPr="005473E2">
        <w:rPr>
          <w:rFonts w:cs="Times New Roman"/>
          <w:w w:val="105"/>
          <w:lang w:bidi="ru-RU"/>
        </w:rPr>
        <w:t>руется завершить</w:t>
      </w:r>
      <w:r w:rsidRPr="005473E2">
        <w:rPr>
          <w:rFonts w:cs="Times New Roman"/>
          <w:w w:val="105"/>
          <w:lang w:bidi="ru-RU"/>
        </w:rPr>
        <w:t xml:space="preserve"> начатые в 2021-2022 годах инвестиционные проекты.</w:t>
      </w:r>
    </w:p>
    <w:p w:rsidR="00CA1FF1" w:rsidRPr="005473E2" w:rsidRDefault="00CA1FF1" w:rsidP="00CA1FF1">
      <w:pPr>
        <w:ind w:firstLine="567"/>
        <w:jc w:val="both"/>
        <w:rPr>
          <w:rFonts w:cs="Times New Roman"/>
          <w:w w:val="105"/>
          <w:lang w:bidi="ru-RU"/>
        </w:rPr>
      </w:pPr>
      <w:r w:rsidRPr="005473E2">
        <w:rPr>
          <w:rFonts w:cs="Times New Roman"/>
          <w:w w:val="105"/>
          <w:lang w:bidi="ru-RU"/>
        </w:rPr>
        <w:t xml:space="preserve">Объем инвестиций </w:t>
      </w:r>
      <w:r w:rsidRPr="005473E2">
        <w:rPr>
          <w:w w:val="105"/>
        </w:rPr>
        <w:t>в основной капитал за счет всех источников финансирования</w:t>
      </w:r>
      <w:r w:rsidRPr="005473E2">
        <w:rPr>
          <w:rFonts w:cs="Times New Roman"/>
          <w:w w:val="105"/>
          <w:lang w:bidi="ru-RU"/>
        </w:rPr>
        <w:t xml:space="preserve"> за 2023 год оценочно составит 8 </w:t>
      </w:r>
      <w:proofErr w:type="spellStart"/>
      <w:r w:rsidRPr="005473E2">
        <w:rPr>
          <w:rFonts w:cs="Times New Roman"/>
          <w:w w:val="105"/>
          <w:lang w:bidi="ru-RU"/>
        </w:rPr>
        <w:t>млрд.руб</w:t>
      </w:r>
      <w:proofErr w:type="spellEnd"/>
      <w:r w:rsidRPr="005473E2">
        <w:rPr>
          <w:rFonts w:cs="Times New Roman"/>
          <w:w w:val="105"/>
          <w:lang w:bidi="ru-RU"/>
        </w:rPr>
        <w:t>.</w:t>
      </w:r>
    </w:p>
    <w:p w:rsidR="00CA1FF1" w:rsidRPr="005473E2" w:rsidRDefault="00CA1FF1" w:rsidP="00CA1FF1">
      <w:pPr>
        <w:ind w:firstLine="567"/>
        <w:jc w:val="both"/>
        <w:rPr>
          <w:rFonts w:cs="Times New Roman"/>
          <w:w w:val="105"/>
          <w:lang w:bidi="ru-RU"/>
        </w:rPr>
      </w:pPr>
      <w:r w:rsidRPr="005473E2">
        <w:rPr>
          <w:rFonts w:cs="Times New Roman"/>
          <w:w w:val="105"/>
          <w:lang w:bidi="ru-RU"/>
        </w:rPr>
        <w:t xml:space="preserve">Снижение темпов роста объема инвестиций по крупным и средним организациям городского округа Электросталь в прогнозном периоде 2024-2026 годов обусловлено небольшим ростом объемов инвестиций, которые планируют освоить крупнейшие предприятия, и завершением в текущем периоде строительства центра </w:t>
      </w:r>
      <w:proofErr w:type="spellStart"/>
      <w:r w:rsidRPr="005473E2">
        <w:rPr>
          <w:rFonts w:cs="Times New Roman"/>
          <w:w w:val="105"/>
          <w:lang w:bidi="ru-RU"/>
        </w:rPr>
        <w:t>омниканальной</w:t>
      </w:r>
      <w:proofErr w:type="spellEnd"/>
      <w:r w:rsidRPr="005473E2">
        <w:rPr>
          <w:rFonts w:cs="Times New Roman"/>
          <w:w w:val="105"/>
          <w:lang w:bidi="ru-RU"/>
        </w:rPr>
        <w:t xml:space="preserve"> </w:t>
      </w:r>
      <w:r w:rsidRPr="005473E2">
        <w:rPr>
          <w:rFonts w:cs="Times New Roman"/>
          <w:w w:val="105"/>
          <w:lang w:bidi="ru-RU"/>
        </w:rPr>
        <w:lastRenderedPageBreak/>
        <w:t>оптовой торговли «</w:t>
      </w:r>
      <w:proofErr w:type="spellStart"/>
      <w:r w:rsidRPr="005473E2">
        <w:rPr>
          <w:rFonts w:cs="Times New Roman"/>
          <w:w w:val="105"/>
          <w:lang w:bidi="ru-RU"/>
        </w:rPr>
        <w:t>Вайлдберриз</w:t>
      </w:r>
      <w:proofErr w:type="spellEnd"/>
      <w:r w:rsidRPr="005473E2">
        <w:rPr>
          <w:rFonts w:cs="Times New Roman"/>
          <w:w w:val="105"/>
          <w:lang w:bidi="ru-RU"/>
        </w:rPr>
        <w:t>».  Строительство крупных промышленных и торговых объектов на территории городского округа в прогнозный период не планируется.</w:t>
      </w:r>
    </w:p>
    <w:p w:rsidR="00CA1FF1" w:rsidRPr="005473E2" w:rsidRDefault="00CA1FF1" w:rsidP="00CA1FF1">
      <w:pPr>
        <w:ind w:firstLine="567"/>
        <w:jc w:val="both"/>
        <w:rPr>
          <w:rFonts w:cs="Times New Roman"/>
          <w:w w:val="105"/>
        </w:rPr>
      </w:pPr>
      <w:r w:rsidRPr="005473E2">
        <w:rPr>
          <w:rFonts w:cs="Times New Roman"/>
          <w:w w:val="105"/>
          <w:lang w:bidi="ru-RU"/>
        </w:rPr>
        <w:t xml:space="preserve"> </w:t>
      </w:r>
      <w:r w:rsidRPr="005473E2">
        <w:rPr>
          <w:rFonts w:cs="Times New Roman"/>
          <w:w w:val="105"/>
        </w:rPr>
        <w:t xml:space="preserve">Основные направления деятельности по привлечению инвестиций: </w:t>
      </w:r>
    </w:p>
    <w:p w:rsidR="00826FFA" w:rsidRPr="005473E2" w:rsidRDefault="00826FFA" w:rsidP="00CA1FF1">
      <w:pPr>
        <w:ind w:firstLine="567"/>
        <w:jc w:val="both"/>
        <w:rPr>
          <w:rFonts w:cs="Times New Roman"/>
          <w:w w:val="105"/>
          <w:lang w:bidi="ru-RU"/>
        </w:rPr>
      </w:pPr>
    </w:p>
    <w:p w:rsidR="00CA1FF1" w:rsidRPr="005473E2" w:rsidRDefault="00CA1FF1" w:rsidP="00CA1FF1">
      <w:pPr>
        <w:ind w:firstLine="567"/>
        <w:jc w:val="both"/>
        <w:rPr>
          <w:rFonts w:cs="Times New Roman"/>
          <w:w w:val="105"/>
        </w:rPr>
      </w:pPr>
      <w:r w:rsidRPr="005473E2">
        <w:rPr>
          <w:rFonts w:cs="Times New Roman"/>
          <w:w w:val="105"/>
        </w:rPr>
        <w:t xml:space="preserve">- развитие индустриального парка «Металлург»; </w:t>
      </w:r>
    </w:p>
    <w:p w:rsidR="00CA1FF1" w:rsidRPr="005473E2" w:rsidRDefault="00CA1FF1" w:rsidP="00CA1FF1">
      <w:pPr>
        <w:ind w:firstLine="567"/>
        <w:jc w:val="both"/>
        <w:rPr>
          <w:rFonts w:cs="Times New Roman"/>
          <w:w w:val="105"/>
        </w:rPr>
      </w:pPr>
      <w:r w:rsidRPr="005473E2">
        <w:rPr>
          <w:rFonts w:cs="Times New Roman"/>
          <w:w w:val="105"/>
        </w:rPr>
        <w:t xml:space="preserve">- вовлечение в оборот (интенсификация использования) имеющихся резервных производственных площадей, которые предприятия готовы использовать с целью предоставления в аренду или выкупа, в том числе субъектам малого и среднего предпринимательства; </w:t>
      </w:r>
    </w:p>
    <w:p w:rsidR="00CA1FF1" w:rsidRPr="005473E2" w:rsidRDefault="00CA1FF1" w:rsidP="00CA1FF1">
      <w:pPr>
        <w:ind w:firstLine="567"/>
        <w:jc w:val="both"/>
        <w:rPr>
          <w:rFonts w:cs="Times New Roman"/>
          <w:w w:val="105"/>
        </w:rPr>
      </w:pPr>
      <w:r w:rsidRPr="005473E2">
        <w:rPr>
          <w:rFonts w:cs="Times New Roman"/>
          <w:w w:val="105"/>
        </w:rPr>
        <w:t>- информирование предпринимателей о мерах государственной и муниципальной поддержки;</w:t>
      </w:r>
    </w:p>
    <w:p w:rsidR="00CA1FF1" w:rsidRPr="005473E2" w:rsidRDefault="00CA1FF1" w:rsidP="00CA1FF1">
      <w:pPr>
        <w:ind w:firstLine="567"/>
        <w:jc w:val="both"/>
        <w:rPr>
          <w:rFonts w:cs="Times New Roman"/>
          <w:w w:val="105"/>
        </w:rPr>
      </w:pPr>
      <w:r w:rsidRPr="005473E2">
        <w:rPr>
          <w:rFonts w:cs="Times New Roman"/>
          <w:w w:val="105"/>
        </w:rPr>
        <w:t>- сопровождение инвестиционных проектов малого и среднего предпринимательства;</w:t>
      </w:r>
    </w:p>
    <w:p w:rsidR="00CA1FF1" w:rsidRPr="005473E2" w:rsidRDefault="00CA1FF1" w:rsidP="00CA1FF1">
      <w:pPr>
        <w:ind w:firstLine="567"/>
        <w:jc w:val="both"/>
        <w:rPr>
          <w:rFonts w:cs="Times New Roman"/>
          <w:w w:val="105"/>
        </w:rPr>
      </w:pPr>
      <w:r w:rsidRPr="005473E2">
        <w:rPr>
          <w:rFonts w:cs="Times New Roman"/>
          <w:w w:val="105"/>
        </w:rPr>
        <w:t>- развитие государственно-частного партнерства (</w:t>
      </w:r>
      <w:proofErr w:type="spellStart"/>
      <w:r w:rsidRPr="005473E2">
        <w:rPr>
          <w:rFonts w:cs="Times New Roman"/>
          <w:w w:val="105"/>
        </w:rPr>
        <w:t>муниципально</w:t>
      </w:r>
      <w:proofErr w:type="spellEnd"/>
      <w:r w:rsidRPr="005473E2">
        <w:rPr>
          <w:rFonts w:cs="Times New Roman"/>
          <w:w w:val="105"/>
        </w:rPr>
        <w:t>-частного партнерства), концессионных соглашений и пр.</w:t>
      </w:r>
    </w:p>
    <w:p w:rsidR="00CA1FF1" w:rsidRPr="005473E2" w:rsidRDefault="00CA1FF1" w:rsidP="00CA1FF1">
      <w:pPr>
        <w:ind w:firstLine="567"/>
        <w:jc w:val="both"/>
        <w:rPr>
          <w:rFonts w:cs="Times New Roman"/>
          <w:b/>
          <w:i/>
        </w:rPr>
      </w:pPr>
    </w:p>
    <w:p w:rsidR="00CA1FF1" w:rsidRPr="005473E2" w:rsidRDefault="00CA1FF1" w:rsidP="00CA1FF1">
      <w:pPr>
        <w:ind w:firstLine="567"/>
        <w:jc w:val="both"/>
        <w:rPr>
          <w:rFonts w:cs="Times New Roman"/>
          <w:b/>
          <w:bCs/>
        </w:rPr>
      </w:pPr>
      <w:r w:rsidRPr="005473E2">
        <w:rPr>
          <w:rFonts w:cs="Times New Roman"/>
          <w:b/>
          <w:bCs/>
        </w:rPr>
        <w:t>Строительство.</w:t>
      </w:r>
    </w:p>
    <w:p w:rsidR="00CA1FF1" w:rsidRPr="005473E2" w:rsidRDefault="00CA1FF1" w:rsidP="00CA1FF1">
      <w:pPr>
        <w:ind w:firstLine="708"/>
        <w:jc w:val="both"/>
        <w:rPr>
          <w:rFonts w:cs="Times New Roman"/>
        </w:rPr>
      </w:pPr>
      <w:r w:rsidRPr="005473E2">
        <w:t xml:space="preserve">В 2022 объем жилищного строительства в городском округе составил 38,81 </w:t>
      </w:r>
      <w:proofErr w:type="spellStart"/>
      <w:r w:rsidRPr="005473E2">
        <w:t>тыс.кв.метров</w:t>
      </w:r>
      <w:proofErr w:type="spellEnd"/>
      <w:r w:rsidRPr="005473E2">
        <w:t xml:space="preserve">, </w:t>
      </w:r>
      <w:r w:rsidRPr="005473E2">
        <w:rPr>
          <w:rFonts w:cs="Times New Roman"/>
        </w:rPr>
        <w:t xml:space="preserve">введен в эксплуатацию </w:t>
      </w:r>
      <w:proofErr w:type="spellStart"/>
      <w:r w:rsidRPr="005473E2">
        <w:rPr>
          <w:rFonts w:cs="Times New Roman"/>
        </w:rPr>
        <w:t>мнгоквартирный</w:t>
      </w:r>
      <w:proofErr w:type="spellEnd"/>
      <w:r w:rsidRPr="005473E2">
        <w:rPr>
          <w:rFonts w:cs="Times New Roman"/>
        </w:rPr>
        <w:t xml:space="preserve"> дом (далее – МКД) по ул. Захарченко, площадью 33,16 </w:t>
      </w:r>
      <w:proofErr w:type="spellStart"/>
      <w:r w:rsidRPr="005473E2">
        <w:rPr>
          <w:rFonts w:cs="Times New Roman"/>
        </w:rPr>
        <w:t>тыс.кв.м</w:t>
      </w:r>
      <w:proofErr w:type="spellEnd"/>
      <w:r w:rsidRPr="005473E2">
        <w:rPr>
          <w:rFonts w:cs="Times New Roman"/>
        </w:rPr>
        <w:t xml:space="preserve"> (застройщик АО СЗ «Виктория </w:t>
      </w:r>
      <w:proofErr w:type="spellStart"/>
      <w:r w:rsidRPr="005473E2">
        <w:rPr>
          <w:rFonts w:cs="Times New Roman"/>
        </w:rPr>
        <w:t>девелопмент</w:t>
      </w:r>
      <w:proofErr w:type="spellEnd"/>
      <w:r w:rsidRPr="005473E2">
        <w:rPr>
          <w:rFonts w:cs="Times New Roman"/>
        </w:rPr>
        <w:t xml:space="preserve">»), </w:t>
      </w:r>
      <w:bookmarkStart w:id="1" w:name="_Hlk148884891"/>
      <w:r w:rsidRPr="005473E2">
        <w:rPr>
          <w:rFonts w:cs="Times New Roman"/>
        </w:rPr>
        <w:t>ввод общей площади жилых домов, построенных населением</w:t>
      </w:r>
      <w:bookmarkEnd w:id="1"/>
      <w:r w:rsidR="00B11734" w:rsidRPr="005473E2">
        <w:rPr>
          <w:rFonts w:cs="Times New Roman"/>
        </w:rPr>
        <w:t xml:space="preserve"> </w:t>
      </w:r>
      <w:r w:rsidRPr="005473E2">
        <w:rPr>
          <w:rFonts w:cs="Times New Roman"/>
        </w:rPr>
        <w:t xml:space="preserve">составил 5,65 </w:t>
      </w:r>
      <w:proofErr w:type="spellStart"/>
      <w:r w:rsidRPr="005473E2">
        <w:rPr>
          <w:rFonts w:cs="Times New Roman"/>
        </w:rPr>
        <w:t>тыс.кв.метров</w:t>
      </w:r>
      <w:proofErr w:type="spellEnd"/>
      <w:r w:rsidRPr="005473E2">
        <w:rPr>
          <w:rFonts w:cs="Times New Roman"/>
        </w:rPr>
        <w:t>.</w:t>
      </w:r>
    </w:p>
    <w:p w:rsidR="00CA1FF1" w:rsidRPr="005473E2" w:rsidRDefault="00CA1FF1" w:rsidP="00CA1FF1">
      <w:pPr>
        <w:ind w:firstLine="708"/>
        <w:jc w:val="both"/>
      </w:pPr>
      <w:r w:rsidRPr="005473E2">
        <w:rPr>
          <w:rFonts w:cs="Times New Roman"/>
        </w:rPr>
        <w:t xml:space="preserve">В 2023 году ввод жилья в МКД не планируется, ввод общей площади жилых домов, построенных населением оценочно составит 5,4 </w:t>
      </w:r>
      <w:proofErr w:type="spellStart"/>
      <w:r w:rsidRPr="005473E2">
        <w:rPr>
          <w:rFonts w:cs="Times New Roman"/>
        </w:rPr>
        <w:t>тыс.кв.м</w:t>
      </w:r>
      <w:proofErr w:type="spellEnd"/>
      <w:r w:rsidRPr="005473E2">
        <w:rPr>
          <w:rFonts w:cs="Times New Roman"/>
        </w:rPr>
        <w:t xml:space="preserve">. </w:t>
      </w:r>
    </w:p>
    <w:p w:rsidR="00CA1FF1" w:rsidRPr="005473E2" w:rsidRDefault="00CA1FF1" w:rsidP="00CA1FF1">
      <w:pPr>
        <w:ind w:firstLine="709"/>
        <w:jc w:val="both"/>
        <w:rPr>
          <w:rFonts w:cs="Times New Roman"/>
        </w:rPr>
      </w:pPr>
      <w:r w:rsidRPr="005473E2">
        <w:rPr>
          <w:rFonts w:cs="Times New Roman"/>
        </w:rPr>
        <w:t xml:space="preserve">В 2024 году планируется ввести в эксплуатацию </w:t>
      </w:r>
      <w:r w:rsidR="007B1CFB" w:rsidRPr="005473E2">
        <w:rPr>
          <w:rFonts w:cs="Times New Roman"/>
        </w:rPr>
        <w:t xml:space="preserve">12,9 </w:t>
      </w:r>
      <w:proofErr w:type="spellStart"/>
      <w:r w:rsidR="007B1CFB" w:rsidRPr="005473E2">
        <w:rPr>
          <w:rFonts w:cs="Times New Roman"/>
        </w:rPr>
        <w:t>тыс.кв</w:t>
      </w:r>
      <w:proofErr w:type="spellEnd"/>
      <w:r w:rsidR="007B1CFB" w:rsidRPr="005473E2">
        <w:rPr>
          <w:rFonts w:cs="Times New Roman"/>
        </w:rPr>
        <w:t xml:space="preserve">. м жилья, в том числе: </w:t>
      </w:r>
      <w:r w:rsidRPr="005473E2">
        <w:rPr>
          <w:rFonts w:cs="Times New Roman"/>
        </w:rPr>
        <w:t xml:space="preserve">6,7 </w:t>
      </w:r>
      <w:proofErr w:type="spellStart"/>
      <w:r w:rsidRPr="005473E2">
        <w:rPr>
          <w:rFonts w:cs="Times New Roman"/>
        </w:rPr>
        <w:t>тыс.кв.м</w:t>
      </w:r>
      <w:proofErr w:type="spellEnd"/>
      <w:r w:rsidRPr="005473E2">
        <w:rPr>
          <w:rFonts w:cs="Times New Roman"/>
        </w:rPr>
        <w:t xml:space="preserve"> </w:t>
      </w:r>
      <w:r w:rsidR="0067228F" w:rsidRPr="005473E2">
        <w:rPr>
          <w:rFonts w:cs="Times New Roman"/>
        </w:rPr>
        <w:t xml:space="preserve">жилья </w:t>
      </w:r>
      <w:r w:rsidR="007B1CFB" w:rsidRPr="005473E2">
        <w:rPr>
          <w:rFonts w:cs="Times New Roman"/>
        </w:rPr>
        <w:t>в</w:t>
      </w:r>
      <w:r w:rsidRPr="005473E2">
        <w:rPr>
          <w:rFonts w:cs="Times New Roman"/>
        </w:rPr>
        <w:t xml:space="preserve"> МКД по пр. Рабочий, 8 (</w:t>
      </w:r>
      <w:proofErr w:type="spellStart"/>
      <w:r w:rsidRPr="005473E2">
        <w:rPr>
          <w:rFonts w:cs="Times New Roman"/>
        </w:rPr>
        <w:t>стр</w:t>
      </w:r>
      <w:proofErr w:type="spellEnd"/>
      <w:r w:rsidRPr="005473E2">
        <w:rPr>
          <w:rFonts w:cs="Times New Roman"/>
        </w:rPr>
        <w:t xml:space="preserve">), застройщик АО СЗ «Виктория </w:t>
      </w:r>
      <w:proofErr w:type="spellStart"/>
      <w:r w:rsidRPr="005473E2">
        <w:rPr>
          <w:rFonts w:cs="Times New Roman"/>
        </w:rPr>
        <w:t>девелопмент</w:t>
      </w:r>
      <w:proofErr w:type="spellEnd"/>
      <w:r w:rsidRPr="005473E2">
        <w:rPr>
          <w:rFonts w:cs="Times New Roman"/>
        </w:rPr>
        <w:t xml:space="preserve">», а также 6,2 тыс. </w:t>
      </w:r>
      <w:proofErr w:type="spellStart"/>
      <w:r w:rsidRPr="005473E2">
        <w:rPr>
          <w:rFonts w:cs="Times New Roman"/>
        </w:rPr>
        <w:t>кв.м</w:t>
      </w:r>
      <w:proofErr w:type="spellEnd"/>
      <w:r w:rsidRPr="005473E2">
        <w:rPr>
          <w:rFonts w:cs="Times New Roman"/>
        </w:rPr>
        <w:t xml:space="preserve"> </w:t>
      </w:r>
      <w:r w:rsidR="00B11734" w:rsidRPr="005473E2">
        <w:rPr>
          <w:rFonts w:cs="Times New Roman"/>
        </w:rPr>
        <w:t>жилья, построенного населением</w:t>
      </w:r>
      <w:r w:rsidR="007B1CFB" w:rsidRPr="005473E2">
        <w:rPr>
          <w:rFonts w:cs="Times New Roman"/>
        </w:rPr>
        <w:t>.</w:t>
      </w:r>
    </w:p>
    <w:p w:rsidR="00B11734" w:rsidRPr="005473E2" w:rsidRDefault="00CA1FF1" w:rsidP="00CA1FF1">
      <w:pPr>
        <w:ind w:firstLine="709"/>
        <w:jc w:val="both"/>
        <w:rPr>
          <w:rFonts w:cs="Times New Roman"/>
        </w:rPr>
      </w:pPr>
      <w:r w:rsidRPr="005473E2">
        <w:rPr>
          <w:rFonts w:cs="Times New Roman"/>
        </w:rPr>
        <w:t xml:space="preserve">В 2025 году планируется ввести в эксплуатацию 6,4 </w:t>
      </w:r>
      <w:proofErr w:type="spellStart"/>
      <w:r w:rsidRPr="005473E2">
        <w:rPr>
          <w:rFonts w:cs="Times New Roman"/>
        </w:rPr>
        <w:t>тыс.кв.м</w:t>
      </w:r>
      <w:proofErr w:type="spellEnd"/>
      <w:r w:rsidRPr="005473E2">
        <w:rPr>
          <w:rFonts w:cs="Times New Roman"/>
        </w:rPr>
        <w:t xml:space="preserve"> </w:t>
      </w:r>
      <w:r w:rsidR="00B11734" w:rsidRPr="005473E2">
        <w:rPr>
          <w:rFonts w:cs="Times New Roman"/>
        </w:rPr>
        <w:t xml:space="preserve">жилья, </w:t>
      </w:r>
      <w:r w:rsidRPr="005473E2">
        <w:rPr>
          <w:rFonts w:cs="Times New Roman"/>
        </w:rPr>
        <w:t>построенн</w:t>
      </w:r>
      <w:r w:rsidR="00B11734" w:rsidRPr="005473E2">
        <w:rPr>
          <w:rFonts w:cs="Times New Roman"/>
        </w:rPr>
        <w:t>ого</w:t>
      </w:r>
      <w:r w:rsidRPr="005473E2">
        <w:rPr>
          <w:rFonts w:cs="Times New Roman"/>
        </w:rPr>
        <w:t xml:space="preserve"> население</w:t>
      </w:r>
      <w:r w:rsidR="00B11734" w:rsidRPr="005473E2">
        <w:rPr>
          <w:rFonts w:cs="Times New Roman"/>
        </w:rPr>
        <w:t>м.</w:t>
      </w:r>
    </w:p>
    <w:p w:rsidR="00CA1FF1" w:rsidRPr="005473E2" w:rsidRDefault="00B11734" w:rsidP="00CA1FF1">
      <w:pPr>
        <w:ind w:firstLine="709"/>
        <w:jc w:val="both"/>
        <w:rPr>
          <w:rFonts w:cs="Times New Roman"/>
        </w:rPr>
      </w:pPr>
      <w:r w:rsidRPr="005473E2">
        <w:rPr>
          <w:rFonts w:cs="Times New Roman"/>
        </w:rPr>
        <w:t>В</w:t>
      </w:r>
      <w:r w:rsidR="00CA1FF1" w:rsidRPr="005473E2">
        <w:rPr>
          <w:rFonts w:cs="Times New Roman"/>
        </w:rPr>
        <w:t xml:space="preserve"> 2026 году планируется ввести в эксплуатацию </w:t>
      </w:r>
      <w:r w:rsidRPr="005473E2">
        <w:rPr>
          <w:rFonts w:cs="Times New Roman"/>
        </w:rPr>
        <w:t xml:space="preserve">45,36 </w:t>
      </w:r>
      <w:proofErr w:type="spellStart"/>
      <w:r w:rsidRPr="005473E2">
        <w:rPr>
          <w:rFonts w:cs="Times New Roman"/>
        </w:rPr>
        <w:t>тыс.кв</w:t>
      </w:r>
      <w:proofErr w:type="spellEnd"/>
      <w:r w:rsidRPr="005473E2">
        <w:rPr>
          <w:rFonts w:cs="Times New Roman"/>
        </w:rPr>
        <w:t xml:space="preserve">. м жилья, в том числе: </w:t>
      </w:r>
      <w:r w:rsidR="00CA1FF1" w:rsidRPr="005473E2">
        <w:rPr>
          <w:rFonts w:cs="Times New Roman"/>
        </w:rPr>
        <w:t xml:space="preserve">27,16 </w:t>
      </w:r>
      <w:proofErr w:type="spellStart"/>
      <w:r w:rsidRPr="005473E2">
        <w:rPr>
          <w:rFonts w:cs="Times New Roman"/>
        </w:rPr>
        <w:t>тыс.</w:t>
      </w:r>
      <w:r w:rsidR="00CA1FF1" w:rsidRPr="005473E2">
        <w:rPr>
          <w:rFonts w:cs="Times New Roman"/>
        </w:rPr>
        <w:t>кв.м</w:t>
      </w:r>
      <w:proofErr w:type="spellEnd"/>
      <w:r w:rsidR="00CA1FF1" w:rsidRPr="005473E2">
        <w:rPr>
          <w:rFonts w:cs="Times New Roman"/>
        </w:rPr>
        <w:t xml:space="preserve"> жилья в </w:t>
      </w:r>
      <w:r w:rsidRPr="005473E2">
        <w:rPr>
          <w:rFonts w:cs="Times New Roman"/>
        </w:rPr>
        <w:t>МКД</w:t>
      </w:r>
      <w:r w:rsidR="00CA1FF1" w:rsidRPr="005473E2">
        <w:rPr>
          <w:rFonts w:cs="Times New Roman"/>
        </w:rPr>
        <w:t xml:space="preserve"> в Северном микрорайоне и </w:t>
      </w:r>
      <w:r w:rsidRPr="005473E2">
        <w:rPr>
          <w:rFonts w:cs="Times New Roman"/>
        </w:rPr>
        <w:t>18,2</w:t>
      </w:r>
      <w:r w:rsidR="00CA1FF1" w:rsidRPr="005473E2">
        <w:rPr>
          <w:rFonts w:cs="Times New Roman"/>
        </w:rPr>
        <w:t xml:space="preserve"> </w:t>
      </w:r>
      <w:proofErr w:type="spellStart"/>
      <w:r w:rsidRPr="005473E2">
        <w:rPr>
          <w:rFonts w:cs="Times New Roman"/>
        </w:rPr>
        <w:t>тыс.</w:t>
      </w:r>
      <w:r w:rsidR="00CA1FF1" w:rsidRPr="005473E2">
        <w:rPr>
          <w:rFonts w:cs="Times New Roman"/>
        </w:rPr>
        <w:t>кв</w:t>
      </w:r>
      <w:proofErr w:type="spellEnd"/>
      <w:r w:rsidR="00CA1FF1" w:rsidRPr="005473E2">
        <w:rPr>
          <w:rFonts w:cs="Times New Roman"/>
        </w:rPr>
        <w:t xml:space="preserve">. </w:t>
      </w:r>
      <w:r w:rsidRPr="005473E2">
        <w:rPr>
          <w:rFonts w:cs="Times New Roman"/>
        </w:rPr>
        <w:t>м жилья, построенного населением.</w:t>
      </w:r>
    </w:p>
    <w:p w:rsidR="00CA1FF1" w:rsidRPr="005473E2" w:rsidRDefault="00CA1FF1" w:rsidP="00CA1FF1">
      <w:pPr>
        <w:ind w:firstLine="709"/>
        <w:jc w:val="both"/>
      </w:pPr>
      <w:r w:rsidRPr="005473E2">
        <w:t xml:space="preserve">Для поддержания динамики ввода жилых объектов в эксплуатацию в городском округе проводится работа по согласованию концепций развития территорий          мкр.Северный-2 и территории по </w:t>
      </w:r>
      <w:proofErr w:type="spellStart"/>
      <w:r w:rsidRPr="005473E2">
        <w:t>ул.Юбилейная</w:t>
      </w:r>
      <w:proofErr w:type="spellEnd"/>
      <w:r w:rsidRPr="005473E2">
        <w:t>. Кроме того, продолжится строительство микрорайона в квартале между Ногинским шоссе и проспектом Ленина.</w:t>
      </w:r>
    </w:p>
    <w:p w:rsidR="00CA1FF1" w:rsidRPr="005473E2" w:rsidRDefault="00CA1FF1" w:rsidP="00CA1FF1">
      <w:pPr>
        <w:ind w:firstLine="709"/>
        <w:jc w:val="both"/>
      </w:pPr>
      <w:r w:rsidRPr="005473E2">
        <w:t xml:space="preserve">Уровень обеспеченности населения городского округа Электросталь жильем составил в 2022 году 23,91 </w:t>
      </w:r>
      <w:proofErr w:type="spellStart"/>
      <w:r w:rsidRPr="005473E2">
        <w:t>кв.м</w:t>
      </w:r>
      <w:proofErr w:type="spellEnd"/>
      <w:r w:rsidRPr="005473E2">
        <w:t xml:space="preserve"> на человека, рост по сравнению с 2021 годом – 102,7%.                     В 2023 году обеспеченность населения жильем оценочно вырастет и составит 24,25 </w:t>
      </w:r>
      <w:proofErr w:type="spellStart"/>
      <w:r w:rsidRPr="005473E2">
        <w:t>кв.м</w:t>
      </w:r>
      <w:proofErr w:type="spellEnd"/>
      <w:r w:rsidRPr="005473E2">
        <w:t xml:space="preserve"> на человека. Рост обусловлен не только вводом в эксплуатацию жилых домов, но и уменьшением численности населения городского округа. </w:t>
      </w:r>
    </w:p>
    <w:p w:rsidR="00CA1FF1" w:rsidRPr="005473E2" w:rsidRDefault="00CA1FF1" w:rsidP="00CA1FF1">
      <w:pPr>
        <w:ind w:firstLine="709"/>
        <w:jc w:val="both"/>
      </w:pPr>
      <w:r w:rsidRPr="005473E2">
        <w:t xml:space="preserve">В 2024-2026 годах прогнозируется умеренный рост уровня обеспеченности населения жильем, к 2026 году он достигнет значения 25,62 </w:t>
      </w:r>
      <w:proofErr w:type="spellStart"/>
      <w:r w:rsidRPr="005473E2">
        <w:t>кв.м</w:t>
      </w:r>
      <w:proofErr w:type="spellEnd"/>
      <w:r w:rsidRPr="005473E2">
        <w:t xml:space="preserve"> на человека.</w:t>
      </w:r>
    </w:p>
    <w:p w:rsidR="00CA1FF1" w:rsidRPr="005473E2" w:rsidRDefault="00CA1FF1" w:rsidP="00CA1FF1">
      <w:pPr>
        <w:ind w:firstLine="567"/>
        <w:jc w:val="both"/>
        <w:rPr>
          <w:rFonts w:cs="Times New Roman"/>
        </w:rPr>
      </w:pPr>
    </w:p>
    <w:p w:rsidR="00CA1FF1" w:rsidRPr="005473E2" w:rsidRDefault="00CA1FF1" w:rsidP="00CA1FF1">
      <w:pPr>
        <w:ind w:firstLine="567"/>
        <w:jc w:val="both"/>
        <w:rPr>
          <w:rFonts w:cs="Times New Roman"/>
          <w:b/>
          <w:bCs/>
        </w:rPr>
      </w:pPr>
      <w:r w:rsidRPr="005473E2">
        <w:rPr>
          <w:rFonts w:cs="Times New Roman"/>
          <w:b/>
          <w:bCs/>
        </w:rPr>
        <w:t>Труд и заработная плата</w:t>
      </w:r>
    </w:p>
    <w:p w:rsidR="00CA1FF1" w:rsidRPr="005473E2" w:rsidRDefault="00CA1FF1" w:rsidP="00CA1FF1">
      <w:pPr>
        <w:ind w:firstLine="567"/>
        <w:jc w:val="both"/>
        <w:rPr>
          <w:rFonts w:cs="Times New Roman"/>
        </w:rPr>
      </w:pPr>
      <w:r w:rsidRPr="005473E2">
        <w:rPr>
          <w:rFonts w:cs="Times New Roman"/>
        </w:rPr>
        <w:t xml:space="preserve">Рынок труда городского округа Электросталь представлен предприятиями промышленного производства, строительства, оптовой и розничной торговли, услуг, организациями, осуществляющими административную деятельность и государственное управление. </w:t>
      </w:r>
    </w:p>
    <w:p w:rsidR="00CA1FF1" w:rsidRPr="005473E2" w:rsidRDefault="00CA1FF1" w:rsidP="00CA1FF1">
      <w:pPr>
        <w:ind w:firstLine="567"/>
        <w:jc w:val="both"/>
        <w:rPr>
          <w:rFonts w:cs="Times New Roman"/>
        </w:rPr>
      </w:pPr>
      <w:r w:rsidRPr="005473E2">
        <w:rPr>
          <w:rFonts w:cs="Times New Roman"/>
        </w:rPr>
        <w:t>Наряду с крупнейшими промышленными предприятиями на территории городского округа осуществляют деятельность предприятия малого бизнеса.</w:t>
      </w:r>
    </w:p>
    <w:p w:rsidR="00CA1FF1" w:rsidRPr="005473E2" w:rsidRDefault="00CA1FF1" w:rsidP="00B46121">
      <w:pPr>
        <w:ind w:firstLine="567"/>
        <w:jc w:val="both"/>
        <w:rPr>
          <w:rFonts w:cs="Times New Roman"/>
        </w:rPr>
      </w:pPr>
      <w:r w:rsidRPr="005473E2">
        <w:rPr>
          <w:rFonts w:cs="Times New Roman"/>
        </w:rPr>
        <w:t>Предприятиями и организациями, определяющими динамику фонда заработной платы городского округа, являются крупнейшие промышленные предприятия: АО «МСЗ</w:t>
      </w:r>
      <w:proofErr w:type="gramStart"/>
      <w:r w:rsidRPr="005473E2">
        <w:rPr>
          <w:rFonts w:cs="Times New Roman"/>
        </w:rPr>
        <w:t xml:space="preserve">»,   </w:t>
      </w:r>
      <w:proofErr w:type="gramEnd"/>
      <w:r w:rsidRPr="005473E2">
        <w:rPr>
          <w:rFonts w:cs="Times New Roman"/>
        </w:rPr>
        <w:t xml:space="preserve">                    </w:t>
      </w:r>
      <w:r w:rsidRPr="005473E2">
        <w:rPr>
          <w:rFonts w:cs="Times New Roman"/>
        </w:rPr>
        <w:lastRenderedPageBreak/>
        <w:t>ОАО «ЭЗТМ», АО «МЗ «Электросталь», ОАО «ЭХМЗ», АО «502ЗРВТИ»,                                          ООО «МСЗ Механика», ООО «</w:t>
      </w:r>
      <w:proofErr w:type="spellStart"/>
      <w:r w:rsidRPr="005473E2">
        <w:rPr>
          <w:rFonts w:cs="Times New Roman"/>
        </w:rPr>
        <w:t>Вайлдбериз</w:t>
      </w:r>
      <w:proofErr w:type="spellEnd"/>
      <w:r w:rsidRPr="005473E2">
        <w:rPr>
          <w:rFonts w:cs="Times New Roman"/>
        </w:rPr>
        <w:t>».</w:t>
      </w:r>
    </w:p>
    <w:p w:rsidR="00CA1FF1" w:rsidRPr="005473E2" w:rsidRDefault="00CA1FF1" w:rsidP="00B46121">
      <w:pPr>
        <w:ind w:firstLine="567"/>
        <w:jc w:val="both"/>
        <w:rPr>
          <w:rFonts w:cs="Times New Roman"/>
        </w:rPr>
      </w:pPr>
      <w:r w:rsidRPr="005473E2">
        <w:rPr>
          <w:rFonts w:cs="Times New Roman"/>
        </w:rPr>
        <w:t>Функционирующий на территории города малый бизнес, основным направлением деятельности котор</w:t>
      </w:r>
      <w:r w:rsidR="00B11734" w:rsidRPr="005473E2">
        <w:rPr>
          <w:rFonts w:cs="Times New Roman"/>
        </w:rPr>
        <w:t>ого</w:t>
      </w:r>
      <w:r w:rsidRPr="005473E2">
        <w:rPr>
          <w:rFonts w:cs="Times New Roman"/>
        </w:rPr>
        <w:t xml:space="preserve"> является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представлен следующими предприятиями: предприятия группы компаний </w:t>
      </w:r>
      <w:proofErr w:type="spellStart"/>
      <w:r w:rsidRPr="005473E2">
        <w:rPr>
          <w:rFonts w:cs="Times New Roman"/>
        </w:rPr>
        <w:t>Тране</w:t>
      </w:r>
      <w:proofErr w:type="spellEnd"/>
      <w:r w:rsidRPr="005473E2">
        <w:rPr>
          <w:rFonts w:cs="Times New Roman"/>
        </w:rPr>
        <w:t>, ООО «</w:t>
      </w:r>
      <w:proofErr w:type="spellStart"/>
      <w:r w:rsidRPr="005473E2">
        <w:rPr>
          <w:rFonts w:cs="Times New Roman"/>
        </w:rPr>
        <w:t>Терминус</w:t>
      </w:r>
      <w:proofErr w:type="spellEnd"/>
      <w:r w:rsidRPr="005473E2">
        <w:rPr>
          <w:rFonts w:cs="Times New Roman"/>
        </w:rPr>
        <w:t>», ООО «</w:t>
      </w:r>
      <w:proofErr w:type="spellStart"/>
      <w:r w:rsidRPr="005473E2">
        <w:rPr>
          <w:rFonts w:cs="Times New Roman"/>
        </w:rPr>
        <w:t>Русинокс</w:t>
      </w:r>
      <w:proofErr w:type="spellEnd"/>
      <w:r w:rsidRPr="005473E2">
        <w:rPr>
          <w:rFonts w:cs="Times New Roman"/>
        </w:rPr>
        <w:t>», АО «ТЭСМО», ООО «</w:t>
      </w:r>
      <w:proofErr w:type="spellStart"/>
      <w:r w:rsidRPr="005473E2">
        <w:rPr>
          <w:rFonts w:cs="Times New Roman"/>
        </w:rPr>
        <w:t>Промснабресурс</w:t>
      </w:r>
      <w:proofErr w:type="spellEnd"/>
      <w:r w:rsidRPr="005473E2">
        <w:rPr>
          <w:rFonts w:cs="Times New Roman"/>
        </w:rPr>
        <w:t>», ЗАО «Полимер», ООО «Фабрика композитов».</w:t>
      </w:r>
    </w:p>
    <w:p w:rsidR="00CA1FF1" w:rsidRPr="005473E2" w:rsidRDefault="00CA1FF1" w:rsidP="00B46121">
      <w:pPr>
        <w:ind w:firstLine="567"/>
        <w:jc w:val="both"/>
        <w:rPr>
          <w:rFonts w:eastAsia="Calibri" w:cs="Times New Roman"/>
        </w:rPr>
      </w:pPr>
      <w:r w:rsidRPr="005473E2">
        <w:rPr>
          <w:rFonts w:cs="Times New Roman"/>
          <w:shd w:val="clear" w:color="auto" w:fill="FFFFFF"/>
        </w:rPr>
        <w:t>Численность официально зарегистрированных безработных в 2022 году значительно уменьшилась по сравнению с 2021 годом и составила 290 человек (в 2021 году 548 человек). Снижение</w:t>
      </w:r>
      <w:r w:rsidRPr="005473E2">
        <w:rPr>
          <w:rFonts w:eastAsia="Calibri" w:cs="Times New Roman"/>
        </w:rPr>
        <w:t xml:space="preserve"> обусловлено реализацией мероприятий по снижению напряженности на рынке труда, программы по переобучению безработных граждан и граждан, находящихся в поиске работы.</w:t>
      </w:r>
    </w:p>
    <w:p w:rsidR="00CA1FF1" w:rsidRPr="005473E2" w:rsidRDefault="00CA1FF1" w:rsidP="00B46121">
      <w:pPr>
        <w:ind w:firstLine="709"/>
        <w:jc w:val="both"/>
        <w:rPr>
          <w:rFonts w:eastAsia="Calibri" w:cs="Times New Roman"/>
        </w:rPr>
      </w:pPr>
      <w:r w:rsidRPr="005473E2">
        <w:rPr>
          <w:rFonts w:eastAsia="Calibri" w:cs="Times New Roman"/>
        </w:rPr>
        <w:t>По оценке</w:t>
      </w:r>
      <w:r w:rsidR="00B11734" w:rsidRPr="005473E2">
        <w:rPr>
          <w:rFonts w:eastAsia="Calibri" w:cs="Times New Roman"/>
        </w:rPr>
        <w:t>, по итогам</w:t>
      </w:r>
      <w:r w:rsidRPr="005473E2">
        <w:rPr>
          <w:rFonts w:eastAsia="Calibri" w:cs="Times New Roman"/>
        </w:rPr>
        <w:t xml:space="preserve"> 2023 года уровень официально зарегистрированных безработных составит 270 человек.</w:t>
      </w:r>
    </w:p>
    <w:p w:rsidR="00CA1FF1" w:rsidRPr="005473E2" w:rsidRDefault="00CA1FF1" w:rsidP="00B46121">
      <w:pPr>
        <w:ind w:firstLine="709"/>
        <w:jc w:val="both"/>
        <w:rPr>
          <w:rFonts w:eastAsia="Calibri" w:cs="Times New Roman"/>
        </w:rPr>
      </w:pPr>
      <w:r w:rsidRPr="005473E2">
        <w:rPr>
          <w:rFonts w:eastAsia="Calibri" w:cs="Times New Roman"/>
        </w:rPr>
        <w:t xml:space="preserve">Анализ ситуации, складывающейся на рынке труда, показывает, </w:t>
      </w:r>
      <w:r w:rsidRPr="005473E2">
        <w:rPr>
          <w:rFonts w:eastAsia="Calibri" w:cs="Times New Roman"/>
        </w:rPr>
        <w:br/>
        <w:t xml:space="preserve">что наибольшие сложности с трудоустройством возникают у инвалидов, молодежи, женщин, воспитывающих детей дошкольного возраста и детей-инвалидов, </w:t>
      </w:r>
      <w:proofErr w:type="spellStart"/>
      <w:r w:rsidRPr="005473E2">
        <w:rPr>
          <w:rFonts w:eastAsia="Calibri" w:cs="Times New Roman"/>
        </w:rPr>
        <w:t>предпенсионеров</w:t>
      </w:r>
      <w:proofErr w:type="spellEnd"/>
      <w:r w:rsidRPr="005473E2">
        <w:rPr>
          <w:rFonts w:eastAsia="Calibri" w:cs="Times New Roman"/>
        </w:rPr>
        <w:t>, а также иных категорий социально незащищенных граждан, поддержка которых является одним из важнейших приоритетов политики занятости населения.</w:t>
      </w:r>
    </w:p>
    <w:p w:rsidR="00CA1FF1" w:rsidRPr="005473E2" w:rsidRDefault="00CA1FF1" w:rsidP="00CA1FF1">
      <w:pPr>
        <w:ind w:firstLine="567"/>
        <w:jc w:val="both"/>
        <w:rPr>
          <w:rFonts w:cs="Times New Roman"/>
          <w:shd w:val="clear" w:color="auto" w:fill="FFFFFF"/>
        </w:rPr>
      </w:pPr>
      <w:r w:rsidRPr="005473E2">
        <w:t xml:space="preserve">В прогнозном периоде безработица будет снижаться. В основном на количество существующих рабочих мест будут влиять градообразующие предприятия города. Оптимизация численности рабочих мест должна быть завершена. Также </w:t>
      </w:r>
      <w:r w:rsidR="00A6332C" w:rsidRPr="005473E2">
        <w:t>планируется создание</w:t>
      </w:r>
      <w:r w:rsidRPr="005473E2">
        <w:t xml:space="preserve"> новых рабочих мест в связи с развитием территорий и расширением направлений деятельности, созданием </w:t>
      </w:r>
      <w:proofErr w:type="spellStart"/>
      <w:r w:rsidRPr="005473E2">
        <w:t>коворкинг</w:t>
      </w:r>
      <w:proofErr w:type="spellEnd"/>
      <w:r w:rsidRPr="005473E2">
        <w:t>-</w:t>
      </w:r>
      <w:r w:rsidR="00A6332C" w:rsidRPr="005473E2">
        <w:t>центра, индустриальных</w:t>
      </w:r>
      <w:r w:rsidRPr="005473E2">
        <w:t xml:space="preserve"> парков, привлечением на их территорию новых производств, расширением действующих производств, выпуском новых видов продукции, развитием экспорта.</w:t>
      </w:r>
    </w:p>
    <w:p w:rsidR="00CA1FF1" w:rsidRPr="005473E2" w:rsidRDefault="00CA1FF1" w:rsidP="00CA1FF1">
      <w:pPr>
        <w:ind w:firstLine="567"/>
        <w:jc w:val="both"/>
        <w:rPr>
          <w:rFonts w:cs="Times New Roman"/>
          <w:shd w:val="clear" w:color="auto" w:fill="FFFFFF"/>
        </w:rPr>
      </w:pPr>
      <w:r w:rsidRPr="005473E2">
        <w:rPr>
          <w:rFonts w:cs="Times New Roman"/>
          <w:shd w:val="clear" w:color="auto" w:fill="FFFFFF"/>
        </w:rPr>
        <w:t xml:space="preserve">В городском округе ведется работа по развитию сетевой торговли, формированию современных торговых комплексов, созданию комфортной среды для потребителя. Что приведет к созданию новых рабочих мест и вновь зарегистрированных индивидуальных предпринимателей и в результате позволит в прогнозном периоде значительно снизить численность безработных (до </w:t>
      </w:r>
      <w:r w:rsidR="00B11734" w:rsidRPr="005473E2">
        <w:rPr>
          <w:rFonts w:cs="Times New Roman"/>
          <w:shd w:val="clear" w:color="auto" w:fill="FFFFFF"/>
        </w:rPr>
        <w:t>200</w:t>
      </w:r>
      <w:r w:rsidRPr="005473E2">
        <w:rPr>
          <w:rFonts w:cs="Times New Roman"/>
          <w:shd w:val="clear" w:color="auto" w:fill="FFFFFF"/>
        </w:rPr>
        <w:t xml:space="preserve"> человек </w:t>
      </w:r>
      <w:r w:rsidR="00A6332C" w:rsidRPr="005473E2">
        <w:rPr>
          <w:rFonts w:cs="Times New Roman"/>
          <w:shd w:val="clear" w:color="auto" w:fill="FFFFFF"/>
        </w:rPr>
        <w:t>в</w:t>
      </w:r>
      <w:r w:rsidRPr="005473E2">
        <w:rPr>
          <w:rFonts w:cs="Times New Roman"/>
          <w:shd w:val="clear" w:color="auto" w:fill="FFFFFF"/>
        </w:rPr>
        <w:t xml:space="preserve"> 202</w:t>
      </w:r>
      <w:r w:rsidR="00B11734" w:rsidRPr="005473E2">
        <w:rPr>
          <w:rFonts w:cs="Times New Roman"/>
          <w:shd w:val="clear" w:color="auto" w:fill="FFFFFF"/>
        </w:rPr>
        <w:t xml:space="preserve">6 </w:t>
      </w:r>
      <w:r w:rsidRPr="005473E2">
        <w:rPr>
          <w:rFonts w:cs="Times New Roman"/>
          <w:shd w:val="clear" w:color="auto" w:fill="FFFFFF"/>
        </w:rPr>
        <w:t>году).</w:t>
      </w:r>
    </w:p>
    <w:p w:rsidR="00CA1FF1" w:rsidRPr="005473E2" w:rsidRDefault="00CA1FF1" w:rsidP="00CA1FF1">
      <w:pPr>
        <w:ind w:firstLine="567"/>
        <w:jc w:val="both"/>
        <w:rPr>
          <w:rFonts w:cs="Times New Roman"/>
        </w:rPr>
      </w:pPr>
      <w:r w:rsidRPr="005473E2">
        <w:rPr>
          <w:rFonts w:cs="Times New Roman"/>
        </w:rPr>
        <w:t>За 2022 год на предприятиях и в организациях городского округа было создано                         2764 рабочих места, на крупных и средних предприятиях – 1553 единиц, на предприятиях малого бизнеса – 1211 единиц.</w:t>
      </w:r>
    </w:p>
    <w:p w:rsidR="00CA1FF1" w:rsidRPr="005473E2" w:rsidRDefault="00CA1FF1" w:rsidP="00CA1FF1">
      <w:pPr>
        <w:widowControl w:val="0"/>
        <w:autoSpaceDE w:val="0"/>
        <w:autoSpaceDN w:val="0"/>
        <w:ind w:right="51" w:firstLine="567"/>
        <w:jc w:val="both"/>
        <w:rPr>
          <w:rFonts w:cs="Times New Roman"/>
          <w:lang w:bidi="ru-RU"/>
        </w:rPr>
      </w:pPr>
      <w:r w:rsidRPr="005473E2">
        <w:rPr>
          <w:rFonts w:cs="Times New Roman"/>
          <w:lang w:bidi="ru-RU"/>
        </w:rPr>
        <w:t xml:space="preserve">Открытие на территории городского округа крупного предприятия Центр </w:t>
      </w:r>
      <w:proofErr w:type="spellStart"/>
      <w:r w:rsidRPr="005473E2">
        <w:rPr>
          <w:rFonts w:cs="Times New Roman"/>
          <w:lang w:bidi="ru-RU"/>
        </w:rPr>
        <w:t>омниканальной</w:t>
      </w:r>
      <w:proofErr w:type="spellEnd"/>
      <w:r w:rsidRPr="005473E2">
        <w:rPr>
          <w:rFonts w:cs="Times New Roman"/>
          <w:lang w:bidi="ru-RU"/>
        </w:rPr>
        <w:t xml:space="preserve"> торговли ООО «</w:t>
      </w:r>
      <w:proofErr w:type="spellStart"/>
      <w:r w:rsidRPr="005473E2">
        <w:rPr>
          <w:rFonts w:cs="Times New Roman"/>
          <w:lang w:bidi="ru-RU"/>
        </w:rPr>
        <w:t>Вайлбериз</w:t>
      </w:r>
      <w:proofErr w:type="spellEnd"/>
      <w:r w:rsidRPr="005473E2">
        <w:rPr>
          <w:rFonts w:cs="Times New Roman"/>
          <w:lang w:bidi="ru-RU"/>
        </w:rPr>
        <w:t>» обеспечило создание в 2022 году 1201 новое рабочее место. Среди предприятий малого бизнеса наибольшее количество новых рабочих мест было создано у ООО «</w:t>
      </w:r>
      <w:r w:rsidRPr="005473E2">
        <w:rPr>
          <w:rFonts w:cs="Times New Roman"/>
          <w:w w:val="105"/>
          <w:lang w:bidi="ru-RU"/>
        </w:rPr>
        <w:t xml:space="preserve">Энергетик» </w:t>
      </w:r>
      <w:r w:rsidRPr="005473E2">
        <w:rPr>
          <w:rFonts w:cs="Times New Roman"/>
          <w:lang w:bidi="ru-RU"/>
        </w:rPr>
        <w:t>- 81 единица, ООО «ДЭННИ» - 74 единицы, ООО «ТК Лифт» - 60 единиц.</w:t>
      </w:r>
    </w:p>
    <w:p w:rsidR="00CA1FF1" w:rsidRPr="005473E2" w:rsidRDefault="00CA1FF1" w:rsidP="00CA1FF1">
      <w:pPr>
        <w:widowControl w:val="0"/>
        <w:autoSpaceDE w:val="0"/>
        <w:autoSpaceDN w:val="0"/>
        <w:ind w:right="51" w:firstLine="567"/>
        <w:jc w:val="both"/>
        <w:rPr>
          <w:rFonts w:cs="Times New Roman"/>
          <w:lang w:bidi="ru-RU"/>
        </w:rPr>
      </w:pPr>
      <w:r w:rsidRPr="005473E2">
        <w:rPr>
          <w:rFonts w:cs="Times New Roman"/>
          <w:lang w:bidi="ru-RU"/>
        </w:rPr>
        <w:t>В текущем и прогнозном периоде создание новых рабочих мест</w:t>
      </w:r>
      <w:r w:rsidR="00977AD6" w:rsidRPr="005473E2">
        <w:rPr>
          <w:rFonts w:cs="Times New Roman"/>
          <w:lang w:bidi="ru-RU"/>
        </w:rPr>
        <w:t xml:space="preserve"> продолжится.</w:t>
      </w:r>
    </w:p>
    <w:p w:rsidR="00CA1FF1" w:rsidRPr="005473E2" w:rsidRDefault="00CA1FF1" w:rsidP="00CA1FF1">
      <w:pPr>
        <w:widowControl w:val="0"/>
        <w:autoSpaceDE w:val="0"/>
        <w:autoSpaceDN w:val="0"/>
        <w:ind w:right="-1" w:firstLine="567"/>
        <w:jc w:val="both"/>
        <w:rPr>
          <w:rFonts w:cs="Times New Roman"/>
          <w:w w:val="105"/>
          <w:lang w:bidi="ru-RU"/>
        </w:rPr>
      </w:pPr>
      <w:r w:rsidRPr="005473E2">
        <w:rPr>
          <w:rFonts w:cs="Times New Roman"/>
          <w:w w:val="105"/>
          <w:lang w:bidi="ru-RU"/>
        </w:rPr>
        <w:t>В</w:t>
      </w:r>
      <w:r w:rsidRPr="005473E2">
        <w:rPr>
          <w:rFonts w:cs="Times New Roman"/>
          <w:spacing w:val="-22"/>
          <w:w w:val="105"/>
          <w:lang w:bidi="ru-RU"/>
        </w:rPr>
        <w:t xml:space="preserve"> </w:t>
      </w:r>
      <w:r w:rsidRPr="005473E2">
        <w:rPr>
          <w:rFonts w:cs="Times New Roman"/>
          <w:w w:val="105"/>
          <w:lang w:bidi="ru-RU"/>
        </w:rPr>
        <w:t>2022 году фонд оплаты труда по городскому</w:t>
      </w:r>
      <w:r w:rsidRPr="005473E2">
        <w:rPr>
          <w:rFonts w:cs="Times New Roman"/>
          <w:spacing w:val="-18"/>
          <w:w w:val="105"/>
          <w:lang w:bidi="ru-RU"/>
        </w:rPr>
        <w:t xml:space="preserve"> </w:t>
      </w:r>
      <w:r w:rsidRPr="005473E2">
        <w:rPr>
          <w:rFonts w:cs="Times New Roman"/>
          <w:spacing w:val="-3"/>
          <w:w w:val="105"/>
          <w:lang w:bidi="ru-RU"/>
        </w:rPr>
        <w:t xml:space="preserve">округу </w:t>
      </w:r>
      <w:r w:rsidRPr="005473E2">
        <w:rPr>
          <w:rFonts w:cs="Times New Roman"/>
          <w:w w:val="105"/>
          <w:lang w:bidi="ru-RU"/>
        </w:rPr>
        <w:t xml:space="preserve">составил 28,7 </w:t>
      </w:r>
      <w:proofErr w:type="spellStart"/>
      <w:r w:rsidRPr="005473E2">
        <w:rPr>
          <w:rFonts w:cs="Times New Roman"/>
          <w:w w:val="105"/>
          <w:lang w:bidi="ru-RU"/>
        </w:rPr>
        <w:t>млрд.рублей</w:t>
      </w:r>
      <w:proofErr w:type="spellEnd"/>
      <w:r w:rsidRPr="005473E2">
        <w:rPr>
          <w:rFonts w:cs="Times New Roman"/>
          <w:w w:val="105"/>
          <w:lang w:bidi="ru-RU"/>
        </w:rPr>
        <w:t>, темп роста по сравнению с 2021 годом 114,4%.</w:t>
      </w:r>
    </w:p>
    <w:p w:rsidR="00CA1FF1" w:rsidRPr="005473E2" w:rsidRDefault="00CA1FF1" w:rsidP="00CA1FF1">
      <w:pPr>
        <w:widowControl w:val="0"/>
        <w:autoSpaceDE w:val="0"/>
        <w:autoSpaceDN w:val="0"/>
        <w:ind w:right="51" w:firstLine="567"/>
        <w:jc w:val="both"/>
        <w:rPr>
          <w:rFonts w:cs="Times New Roman"/>
          <w:w w:val="105"/>
          <w:lang w:bidi="ru-RU"/>
        </w:rPr>
      </w:pPr>
      <w:r w:rsidRPr="005473E2">
        <w:rPr>
          <w:rFonts w:cs="Times New Roman"/>
          <w:w w:val="105"/>
          <w:lang w:bidi="ru-RU"/>
        </w:rPr>
        <w:t xml:space="preserve">Организациями, определяющими </w:t>
      </w:r>
      <w:r w:rsidR="00A6332C" w:rsidRPr="005473E2">
        <w:rPr>
          <w:rFonts w:cs="Times New Roman"/>
          <w:w w:val="105"/>
          <w:lang w:bidi="ru-RU"/>
        </w:rPr>
        <w:t>динамику фонда заработной платы городского округа,</w:t>
      </w:r>
      <w:r w:rsidRPr="005473E2">
        <w:rPr>
          <w:rFonts w:cs="Times New Roman"/>
          <w:w w:val="105"/>
          <w:lang w:bidi="ru-RU"/>
        </w:rPr>
        <w:t xml:space="preserve"> являются крупнейшие промышленные предприятия: АО «МСЗ», ОАО «ЭЗТМ», АО «МЗ «Электросталь», ОАО «ЭХМЗ», АО «502ЗРВТИ», а также крупнейшее предприятие оптовой торговли «ООО </w:t>
      </w:r>
      <w:proofErr w:type="spellStart"/>
      <w:r w:rsidRPr="005473E2">
        <w:rPr>
          <w:rFonts w:cs="Times New Roman"/>
          <w:w w:val="105"/>
          <w:lang w:bidi="ru-RU"/>
        </w:rPr>
        <w:t>Вайлдбериз</w:t>
      </w:r>
      <w:proofErr w:type="spellEnd"/>
      <w:r w:rsidRPr="005473E2">
        <w:rPr>
          <w:rFonts w:cs="Times New Roman"/>
          <w:w w:val="105"/>
          <w:lang w:bidi="ru-RU"/>
        </w:rPr>
        <w:t xml:space="preserve">». Доля фонда заработной платы </w:t>
      </w:r>
      <w:r w:rsidR="00A6332C" w:rsidRPr="005473E2">
        <w:rPr>
          <w:rFonts w:cs="Times New Roman"/>
          <w:w w:val="105"/>
          <w:lang w:bidi="ru-RU"/>
        </w:rPr>
        <w:t>перечисленных предприятий</w:t>
      </w:r>
      <w:r w:rsidRPr="005473E2">
        <w:rPr>
          <w:rFonts w:cs="Times New Roman"/>
          <w:w w:val="105"/>
          <w:lang w:bidi="ru-RU"/>
        </w:rPr>
        <w:t xml:space="preserve"> в общем объеме фонда заработной платы крупных и средних предприятий городского округа составля</w:t>
      </w:r>
      <w:r w:rsidR="00A6332C" w:rsidRPr="005473E2">
        <w:rPr>
          <w:rFonts w:cs="Times New Roman"/>
          <w:w w:val="105"/>
          <w:lang w:bidi="ru-RU"/>
        </w:rPr>
        <w:t xml:space="preserve">л в 2022 году </w:t>
      </w:r>
      <w:r w:rsidRPr="005473E2">
        <w:rPr>
          <w:rFonts w:cs="Times New Roman"/>
          <w:w w:val="105"/>
          <w:lang w:bidi="ru-RU"/>
        </w:rPr>
        <w:t>39</w:t>
      </w:r>
      <w:r w:rsidR="00A6332C" w:rsidRPr="005473E2">
        <w:rPr>
          <w:rFonts w:cs="Times New Roman"/>
          <w:w w:val="105"/>
          <w:lang w:bidi="ru-RU"/>
        </w:rPr>
        <w:t>%,</w:t>
      </w:r>
      <w:r w:rsidRPr="005473E2">
        <w:rPr>
          <w:rFonts w:cs="Times New Roman"/>
          <w:w w:val="105"/>
          <w:lang w:bidi="ru-RU"/>
        </w:rPr>
        <w:t xml:space="preserve"> в 2022 году ФЗП данных предприятий составил 8 933,72 </w:t>
      </w:r>
      <w:proofErr w:type="spellStart"/>
      <w:r w:rsidRPr="005473E2">
        <w:rPr>
          <w:rFonts w:cs="Times New Roman"/>
          <w:w w:val="105"/>
          <w:lang w:bidi="ru-RU"/>
        </w:rPr>
        <w:t>млн.</w:t>
      </w:r>
      <w:r w:rsidR="00A6332C" w:rsidRPr="005473E2">
        <w:rPr>
          <w:rFonts w:cs="Times New Roman"/>
          <w:w w:val="105"/>
          <w:lang w:bidi="ru-RU"/>
        </w:rPr>
        <w:t>руб</w:t>
      </w:r>
      <w:proofErr w:type="spellEnd"/>
      <w:r w:rsidR="00A6332C" w:rsidRPr="005473E2">
        <w:rPr>
          <w:rFonts w:cs="Times New Roman"/>
          <w:w w:val="105"/>
          <w:lang w:bidi="ru-RU"/>
        </w:rPr>
        <w:t>.</w:t>
      </w:r>
      <w:r w:rsidRPr="005473E2">
        <w:rPr>
          <w:rFonts w:cs="Times New Roman"/>
          <w:w w:val="105"/>
          <w:lang w:bidi="ru-RU"/>
        </w:rPr>
        <w:t>,</w:t>
      </w:r>
      <w:r w:rsidR="00A6332C" w:rsidRPr="005473E2">
        <w:rPr>
          <w:rFonts w:cs="Times New Roman"/>
          <w:w w:val="105"/>
          <w:lang w:bidi="ru-RU"/>
        </w:rPr>
        <w:t xml:space="preserve"> </w:t>
      </w:r>
      <w:r w:rsidRPr="005473E2">
        <w:rPr>
          <w:rFonts w:cs="Times New Roman"/>
          <w:w w:val="105"/>
          <w:lang w:bidi="ru-RU"/>
        </w:rPr>
        <w:t>темп роста по сравнению с 2021 годом 115,8%.</w:t>
      </w:r>
    </w:p>
    <w:p w:rsidR="00E274E4" w:rsidRPr="005473E2" w:rsidRDefault="00E018B9" w:rsidP="00E274E4">
      <w:pPr>
        <w:widowControl w:val="0"/>
        <w:autoSpaceDE w:val="0"/>
        <w:autoSpaceDN w:val="0"/>
        <w:ind w:right="51" w:firstLine="567"/>
        <w:jc w:val="both"/>
        <w:rPr>
          <w:rFonts w:cs="Times New Roman"/>
          <w:w w:val="105"/>
          <w:lang w:bidi="ru-RU"/>
        </w:rPr>
      </w:pPr>
      <w:r w:rsidRPr="005473E2">
        <w:rPr>
          <w:rFonts w:cs="Times New Roman"/>
          <w:w w:val="105"/>
          <w:lang w:bidi="ru-RU"/>
        </w:rPr>
        <w:t xml:space="preserve">Фонд заработной платы по крупным и средним организациям городского округа </w:t>
      </w:r>
      <w:r w:rsidRPr="005473E2">
        <w:rPr>
          <w:rFonts w:cs="Times New Roman"/>
          <w:w w:val="105"/>
          <w:lang w:bidi="ru-RU"/>
        </w:rPr>
        <w:lastRenderedPageBreak/>
        <w:t xml:space="preserve">за январь-июнь 2023 года составил 18,82 </w:t>
      </w:r>
      <w:proofErr w:type="spellStart"/>
      <w:r w:rsidRPr="005473E2">
        <w:rPr>
          <w:rFonts w:cs="Times New Roman"/>
          <w:w w:val="105"/>
          <w:lang w:bidi="ru-RU"/>
        </w:rPr>
        <w:t>млрд.рублей</w:t>
      </w:r>
      <w:proofErr w:type="spellEnd"/>
      <w:r w:rsidRPr="005473E2">
        <w:rPr>
          <w:rFonts w:cs="Times New Roman"/>
          <w:w w:val="105"/>
          <w:lang w:bidi="ru-RU"/>
        </w:rPr>
        <w:t xml:space="preserve"> (темп роста по сравнению с аналогичным периодом 2022 года – 173,2%). Высокий темп роста обусловлен ростом фонда заработной платы работникам крупных и средних предприятий городского округа, выполнявшим работы по договорам гражданско-правового характера (далее - работники по ДГПХ), что связано с ростом численности работников по ДГПХ. </w:t>
      </w:r>
    </w:p>
    <w:p w:rsidR="00E018B9" w:rsidRPr="005473E2" w:rsidRDefault="00E018B9" w:rsidP="00E274E4">
      <w:pPr>
        <w:widowControl w:val="0"/>
        <w:autoSpaceDE w:val="0"/>
        <w:autoSpaceDN w:val="0"/>
        <w:ind w:right="51" w:firstLine="567"/>
        <w:jc w:val="both"/>
        <w:rPr>
          <w:rFonts w:cs="Times New Roman"/>
          <w:w w:val="105"/>
          <w:lang w:bidi="ru-RU"/>
        </w:rPr>
      </w:pPr>
      <w:r w:rsidRPr="005473E2">
        <w:rPr>
          <w:rFonts w:cs="Times New Roman"/>
          <w:w w:val="105"/>
          <w:lang w:bidi="ru-RU"/>
        </w:rPr>
        <w:t>За январь-июнь 2023 года средняя численность работников по ДГПХ составила 15999 чел., увеличение по сравнению с аналогичным периодом 2022 года на 15673 чел. (за январь-июнь 2022 года численность работников</w:t>
      </w:r>
      <w:r w:rsidR="00E274E4" w:rsidRPr="005473E2">
        <w:rPr>
          <w:rFonts w:cs="Times New Roman"/>
          <w:w w:val="105"/>
          <w:lang w:bidi="ru-RU"/>
        </w:rPr>
        <w:t xml:space="preserve"> по ДГПХ составляла 326 чел.), </w:t>
      </w:r>
      <w:r w:rsidRPr="005473E2">
        <w:rPr>
          <w:rFonts w:cs="Times New Roman"/>
          <w:w w:val="105"/>
          <w:lang w:bidi="ru-RU"/>
        </w:rPr>
        <w:t xml:space="preserve">фонд заработной платы работников по ДГПХ </w:t>
      </w:r>
      <w:r w:rsidR="00E274E4" w:rsidRPr="005473E2">
        <w:rPr>
          <w:rFonts w:cs="Times New Roman"/>
          <w:w w:val="105"/>
          <w:lang w:bidi="ru-RU"/>
        </w:rPr>
        <w:t>за январь-июнь 2023 года составил</w:t>
      </w:r>
      <w:r w:rsidRPr="005473E2">
        <w:rPr>
          <w:rFonts w:cs="Times New Roman"/>
          <w:w w:val="105"/>
          <w:lang w:bidi="ru-RU"/>
        </w:rPr>
        <w:t xml:space="preserve"> 6,04 </w:t>
      </w:r>
      <w:proofErr w:type="spellStart"/>
      <w:r w:rsidRPr="005473E2">
        <w:rPr>
          <w:rFonts w:cs="Times New Roman"/>
          <w:w w:val="105"/>
          <w:lang w:bidi="ru-RU"/>
        </w:rPr>
        <w:t>млрд.руб</w:t>
      </w:r>
      <w:proofErr w:type="spellEnd"/>
      <w:r w:rsidRPr="005473E2">
        <w:rPr>
          <w:rFonts w:cs="Times New Roman"/>
          <w:w w:val="105"/>
          <w:lang w:bidi="ru-RU"/>
        </w:rPr>
        <w:t xml:space="preserve">. (по сравнению с аналогичным периодом 2022 года фонд заработной платы работников по ДГПХ увеличился на 5,5 </w:t>
      </w:r>
      <w:proofErr w:type="spellStart"/>
      <w:r w:rsidRPr="005473E2">
        <w:rPr>
          <w:rFonts w:cs="Times New Roman"/>
          <w:w w:val="105"/>
          <w:lang w:bidi="ru-RU"/>
        </w:rPr>
        <w:t>млрд.руб</w:t>
      </w:r>
      <w:proofErr w:type="spellEnd"/>
      <w:r w:rsidRPr="005473E2">
        <w:rPr>
          <w:rFonts w:cs="Times New Roman"/>
          <w:w w:val="105"/>
          <w:lang w:bidi="ru-RU"/>
        </w:rPr>
        <w:t xml:space="preserve">.). </w:t>
      </w:r>
    </w:p>
    <w:p w:rsidR="00E274E4" w:rsidRPr="005473E2" w:rsidRDefault="00E274E4" w:rsidP="00E274E4">
      <w:pPr>
        <w:ind w:firstLine="567"/>
        <w:jc w:val="both"/>
        <w:rPr>
          <w:rFonts w:cs="Times New Roman"/>
        </w:rPr>
      </w:pPr>
      <w:r w:rsidRPr="005473E2">
        <w:rPr>
          <w:rFonts w:cs="Times New Roman"/>
        </w:rPr>
        <w:t>Основная доля численности работников по ДГПХ приходится на предприятия, осуществляющих деятельность по ОКВЭД 47.91 «Торговля розничная по почте или по информационно-коммуникационной сети Интернет, крупнейшее предприятие городского округа, осуществляющее деятельность по ОКВЭД 47.91 - ООО «</w:t>
      </w:r>
      <w:proofErr w:type="spellStart"/>
      <w:r w:rsidRPr="005473E2">
        <w:rPr>
          <w:rFonts w:cs="Times New Roman"/>
        </w:rPr>
        <w:t>Вайлдбериз</w:t>
      </w:r>
      <w:proofErr w:type="spellEnd"/>
      <w:r w:rsidRPr="005473E2">
        <w:rPr>
          <w:rFonts w:cs="Times New Roman"/>
        </w:rPr>
        <w:t>».</w:t>
      </w:r>
    </w:p>
    <w:p w:rsidR="00E274E4" w:rsidRPr="005473E2" w:rsidRDefault="00E274E4" w:rsidP="00E274E4">
      <w:pPr>
        <w:widowControl w:val="0"/>
        <w:autoSpaceDE w:val="0"/>
        <w:autoSpaceDN w:val="0"/>
        <w:ind w:right="51" w:firstLine="567"/>
        <w:jc w:val="both"/>
        <w:rPr>
          <w:rFonts w:cs="Times New Roman"/>
          <w:w w:val="105"/>
          <w:lang w:bidi="ru-RU"/>
        </w:rPr>
      </w:pPr>
      <w:r w:rsidRPr="005473E2">
        <w:rPr>
          <w:rFonts w:cs="Times New Roman"/>
          <w:w w:val="105"/>
          <w:lang w:bidi="ru-RU"/>
        </w:rPr>
        <w:t>В 2023 году темп роста фонда заработной</w:t>
      </w:r>
      <w:r w:rsidRPr="005473E2">
        <w:rPr>
          <w:rFonts w:cs="Times New Roman"/>
          <w:spacing w:val="-22"/>
          <w:w w:val="105"/>
          <w:lang w:bidi="ru-RU"/>
        </w:rPr>
        <w:t xml:space="preserve"> </w:t>
      </w:r>
      <w:r w:rsidRPr="005473E2">
        <w:rPr>
          <w:rFonts w:cs="Times New Roman"/>
          <w:spacing w:val="-3"/>
          <w:w w:val="105"/>
          <w:lang w:bidi="ru-RU"/>
        </w:rPr>
        <w:t xml:space="preserve">платы </w:t>
      </w:r>
      <w:r w:rsidRPr="005473E2">
        <w:rPr>
          <w:rFonts w:cs="Times New Roman"/>
          <w:w w:val="105"/>
          <w:lang w:bidi="ru-RU"/>
        </w:rPr>
        <w:t xml:space="preserve">по крупным и средним организациям оценивается в пределах 43,77 </w:t>
      </w:r>
      <w:proofErr w:type="spellStart"/>
      <w:r w:rsidRPr="005473E2">
        <w:rPr>
          <w:rFonts w:cs="Times New Roman"/>
          <w:w w:val="105"/>
          <w:lang w:bidi="ru-RU"/>
        </w:rPr>
        <w:t>млрд.рублей</w:t>
      </w:r>
      <w:proofErr w:type="spellEnd"/>
      <w:r w:rsidRPr="005473E2">
        <w:rPr>
          <w:rFonts w:cs="Times New Roman"/>
          <w:w w:val="105"/>
          <w:lang w:bidi="ru-RU"/>
        </w:rPr>
        <w:t>, темп роста 152,5%.</w:t>
      </w:r>
    </w:p>
    <w:p w:rsidR="00CA1FF1" w:rsidRPr="005473E2" w:rsidRDefault="00CA1FF1" w:rsidP="00CA1FF1">
      <w:pPr>
        <w:widowControl w:val="0"/>
        <w:autoSpaceDE w:val="0"/>
        <w:autoSpaceDN w:val="0"/>
        <w:ind w:right="51" w:firstLine="567"/>
        <w:jc w:val="both"/>
        <w:rPr>
          <w:rFonts w:cs="Times New Roman"/>
          <w:w w:val="105"/>
          <w:sz w:val="22"/>
          <w:szCs w:val="22"/>
          <w:lang w:bidi="ru-RU"/>
        </w:rPr>
      </w:pPr>
      <w:r w:rsidRPr="005473E2">
        <w:rPr>
          <w:rFonts w:cs="Times New Roman"/>
          <w:w w:val="105"/>
          <w:sz w:val="22"/>
          <w:szCs w:val="22"/>
          <w:lang w:bidi="ru-RU"/>
        </w:rPr>
        <w:t>В прогнозном периоде планируется умеренный рост фонда заработной платы:</w:t>
      </w:r>
    </w:p>
    <w:p w:rsidR="00CA1FF1" w:rsidRPr="005473E2" w:rsidRDefault="00CA1FF1" w:rsidP="00CA1FF1">
      <w:pPr>
        <w:ind w:firstLine="567"/>
        <w:jc w:val="both"/>
        <w:rPr>
          <w:rFonts w:cs="Times New Roman"/>
          <w:w w:val="105"/>
          <w:lang w:bidi="ru-RU"/>
        </w:rPr>
      </w:pPr>
      <w:r w:rsidRPr="005473E2">
        <w:rPr>
          <w:rFonts w:cs="Times New Roman"/>
          <w:w w:val="105"/>
          <w:lang w:bidi="ru-RU"/>
        </w:rPr>
        <w:t xml:space="preserve">-  в 2024 году рост составит </w:t>
      </w:r>
      <w:r w:rsidR="006D3247" w:rsidRPr="005473E2">
        <w:rPr>
          <w:rFonts w:cs="Times New Roman"/>
          <w:w w:val="105"/>
          <w:lang w:bidi="ru-RU"/>
        </w:rPr>
        <w:t>113,6</w:t>
      </w:r>
      <w:r w:rsidRPr="005473E2">
        <w:rPr>
          <w:rFonts w:cs="Times New Roman"/>
          <w:w w:val="105"/>
          <w:lang w:bidi="ru-RU"/>
        </w:rPr>
        <w:t xml:space="preserve"> % (по базовому варианту);</w:t>
      </w:r>
    </w:p>
    <w:p w:rsidR="00CA1FF1" w:rsidRPr="005473E2" w:rsidRDefault="00CA1FF1" w:rsidP="00CA1FF1">
      <w:pPr>
        <w:ind w:firstLine="567"/>
        <w:jc w:val="both"/>
        <w:rPr>
          <w:rFonts w:cs="Times New Roman"/>
          <w:w w:val="105"/>
          <w:lang w:bidi="ru-RU"/>
        </w:rPr>
      </w:pPr>
      <w:r w:rsidRPr="005473E2">
        <w:rPr>
          <w:rFonts w:cs="Times New Roman"/>
          <w:w w:val="105"/>
          <w:lang w:bidi="ru-RU"/>
        </w:rPr>
        <w:t xml:space="preserve">- в 2025 – </w:t>
      </w:r>
      <w:r w:rsidR="006D3247" w:rsidRPr="005473E2">
        <w:rPr>
          <w:rFonts w:cs="Times New Roman"/>
          <w:w w:val="105"/>
          <w:lang w:bidi="ru-RU"/>
        </w:rPr>
        <w:t>105,6</w:t>
      </w:r>
      <w:r w:rsidRPr="005473E2">
        <w:rPr>
          <w:rFonts w:cs="Times New Roman"/>
          <w:w w:val="105"/>
          <w:lang w:bidi="ru-RU"/>
        </w:rPr>
        <w:t>% (по базовому варианту);</w:t>
      </w:r>
    </w:p>
    <w:p w:rsidR="00CA1FF1" w:rsidRPr="005473E2" w:rsidRDefault="00CA1FF1" w:rsidP="00CA1FF1">
      <w:pPr>
        <w:ind w:firstLine="567"/>
        <w:jc w:val="both"/>
        <w:rPr>
          <w:rFonts w:cs="Times New Roman"/>
          <w:w w:val="105"/>
          <w:lang w:bidi="ru-RU"/>
        </w:rPr>
      </w:pPr>
      <w:r w:rsidRPr="005473E2">
        <w:rPr>
          <w:rFonts w:cs="Times New Roman"/>
          <w:w w:val="105"/>
          <w:lang w:bidi="ru-RU"/>
        </w:rPr>
        <w:t>- в 2026 году – 105,</w:t>
      </w:r>
      <w:r w:rsidR="006D3247" w:rsidRPr="005473E2">
        <w:rPr>
          <w:rFonts w:cs="Times New Roman"/>
          <w:w w:val="105"/>
          <w:lang w:bidi="ru-RU"/>
        </w:rPr>
        <w:t>7</w:t>
      </w:r>
      <w:r w:rsidRPr="005473E2">
        <w:rPr>
          <w:rFonts w:cs="Times New Roman"/>
          <w:w w:val="105"/>
          <w:lang w:bidi="ru-RU"/>
        </w:rPr>
        <w:t>% (по базовому варианту).</w:t>
      </w:r>
    </w:p>
    <w:p w:rsidR="00CA1FF1" w:rsidRPr="005473E2" w:rsidRDefault="00CA1FF1" w:rsidP="00CA1FF1">
      <w:pPr>
        <w:ind w:firstLine="567"/>
        <w:jc w:val="both"/>
        <w:rPr>
          <w:rFonts w:cs="Times New Roman"/>
          <w:w w:val="105"/>
          <w:lang w:bidi="ru-RU"/>
        </w:rPr>
      </w:pPr>
      <w:r w:rsidRPr="005473E2">
        <w:rPr>
          <w:rFonts w:cs="Times New Roman"/>
          <w:w w:val="105"/>
          <w:lang w:bidi="ru-RU"/>
        </w:rPr>
        <w:t xml:space="preserve">Умеренный темп роста фонда заработной платы </w:t>
      </w:r>
      <w:r w:rsidR="00B46121" w:rsidRPr="005473E2">
        <w:rPr>
          <w:rFonts w:cs="Times New Roman"/>
          <w:w w:val="105"/>
          <w:lang w:bidi="ru-RU"/>
        </w:rPr>
        <w:t xml:space="preserve">в прогнозный период 2024-2026 годов </w:t>
      </w:r>
      <w:r w:rsidRPr="005473E2">
        <w:rPr>
          <w:rFonts w:cs="Times New Roman"/>
          <w:w w:val="105"/>
          <w:lang w:bidi="ru-RU"/>
        </w:rPr>
        <w:t xml:space="preserve">обусловлен тем, что на территории городского округа не планируется строительство новых крупных производств. Действующие предприятия и организации развиваются стабильно. Крупнейшие градообразующие предприятия АО «МСЗ» и АО «МЗ «Электросталь» </w:t>
      </w:r>
      <w:r w:rsidR="004D05C3" w:rsidRPr="005473E2">
        <w:rPr>
          <w:rFonts w:cs="Times New Roman"/>
          <w:w w:val="105"/>
          <w:lang w:bidi="ru-RU"/>
        </w:rPr>
        <w:t>сохраняют тенденцию</w:t>
      </w:r>
      <w:r w:rsidRPr="005473E2">
        <w:rPr>
          <w:rFonts w:cs="Times New Roman"/>
          <w:w w:val="105"/>
          <w:lang w:bidi="ru-RU"/>
        </w:rPr>
        <w:t xml:space="preserve"> рост</w:t>
      </w:r>
      <w:r w:rsidR="004D05C3" w:rsidRPr="005473E2">
        <w:rPr>
          <w:rFonts w:cs="Times New Roman"/>
          <w:w w:val="105"/>
          <w:lang w:bidi="ru-RU"/>
        </w:rPr>
        <w:t>а</w:t>
      </w:r>
      <w:r w:rsidRPr="005473E2">
        <w:rPr>
          <w:rFonts w:cs="Times New Roman"/>
          <w:w w:val="105"/>
          <w:lang w:bidi="ru-RU"/>
        </w:rPr>
        <w:t xml:space="preserve"> фонда заработной платы в пределах 5-10% в год.</w:t>
      </w:r>
      <w:r w:rsidR="004D05C3" w:rsidRPr="005473E2">
        <w:rPr>
          <w:rFonts w:cs="Times New Roman"/>
          <w:w w:val="105"/>
          <w:lang w:bidi="ru-RU"/>
        </w:rPr>
        <w:t xml:space="preserve"> </w:t>
      </w:r>
      <w:r w:rsidRPr="005473E2">
        <w:rPr>
          <w:rFonts w:cs="Times New Roman"/>
          <w:w w:val="105"/>
          <w:lang w:bidi="ru-RU"/>
        </w:rPr>
        <w:t>ООО «</w:t>
      </w:r>
      <w:proofErr w:type="spellStart"/>
      <w:r w:rsidRPr="005473E2">
        <w:rPr>
          <w:rFonts w:cs="Times New Roman"/>
          <w:w w:val="105"/>
          <w:lang w:bidi="ru-RU"/>
        </w:rPr>
        <w:t>Вайлдбериз</w:t>
      </w:r>
      <w:proofErr w:type="spellEnd"/>
      <w:r w:rsidRPr="005473E2">
        <w:rPr>
          <w:rFonts w:cs="Times New Roman"/>
          <w:w w:val="105"/>
          <w:lang w:bidi="ru-RU"/>
        </w:rPr>
        <w:t xml:space="preserve">» вышло на полную мощность, высокий рост </w:t>
      </w:r>
      <w:r w:rsidR="004D05C3" w:rsidRPr="005473E2">
        <w:rPr>
          <w:rFonts w:cs="Times New Roman"/>
          <w:w w:val="105"/>
          <w:lang w:bidi="ru-RU"/>
        </w:rPr>
        <w:t xml:space="preserve">фонда заработной платы из-за роста </w:t>
      </w:r>
      <w:r w:rsidRPr="005473E2">
        <w:rPr>
          <w:rFonts w:cs="Times New Roman"/>
          <w:w w:val="105"/>
          <w:lang w:bidi="ru-RU"/>
        </w:rPr>
        <w:t>численности работников не планируется.</w:t>
      </w:r>
    </w:p>
    <w:p w:rsidR="00CA1FF1" w:rsidRPr="005473E2" w:rsidRDefault="00CA1FF1" w:rsidP="00CA1FF1">
      <w:pPr>
        <w:ind w:firstLine="567"/>
        <w:jc w:val="both"/>
        <w:rPr>
          <w:w w:val="105"/>
        </w:rPr>
      </w:pPr>
      <w:r w:rsidRPr="005473E2">
        <w:rPr>
          <w:w w:val="105"/>
        </w:rPr>
        <w:t xml:space="preserve">Среднемесячная номинальная начисленная заработная плата работников (по полному кругу организаций) городского округа Электросталь составила в 2022 году 60601,11 руб., темп роста по сравнению с прошлым годом 114,7%, среднемесячная заработная плата работников по крупным и средним организациям (включая организации с численностью до 15 человек) выросла по сравнению с 2021 годом на 116,1% и составила 67749,9 руб. Причина  роста заработной платы - повышение производительности труда, а также рост объемов производства промышленных предприятий города. </w:t>
      </w:r>
    </w:p>
    <w:p w:rsidR="00CA1FF1" w:rsidRPr="005473E2" w:rsidRDefault="00CA1FF1" w:rsidP="00CA1FF1">
      <w:pPr>
        <w:ind w:firstLine="567"/>
        <w:jc w:val="both"/>
        <w:rPr>
          <w:w w:val="105"/>
        </w:rPr>
      </w:pPr>
      <w:r w:rsidRPr="005473E2">
        <w:rPr>
          <w:w w:val="105"/>
        </w:rPr>
        <w:t>Наиболее высокий уровень среднемесячной заработной платы показывают предприятия городского округа, относящиеся к виду деятельности: «Обрабатывающее производство»</w:t>
      </w:r>
      <w:r w:rsidR="00867ABC" w:rsidRPr="005473E2">
        <w:rPr>
          <w:w w:val="105"/>
        </w:rPr>
        <w:t>.</w:t>
      </w:r>
    </w:p>
    <w:p w:rsidR="00CA1FF1" w:rsidRPr="005473E2" w:rsidRDefault="00076E40" w:rsidP="00CA1FF1">
      <w:pPr>
        <w:ind w:firstLine="567"/>
        <w:jc w:val="both"/>
        <w:rPr>
          <w:w w:val="105"/>
        </w:rPr>
      </w:pPr>
      <w:r w:rsidRPr="005473E2">
        <w:rPr>
          <w:w w:val="105"/>
        </w:rPr>
        <w:t>За январь-июнь 2023 года с</w:t>
      </w:r>
      <w:r w:rsidR="00CA1FF1" w:rsidRPr="005473E2">
        <w:rPr>
          <w:w w:val="105"/>
        </w:rPr>
        <w:t xml:space="preserve">реднемесячная начисленная заработная плата работников </w:t>
      </w:r>
      <w:r w:rsidR="00DB2CCD" w:rsidRPr="005473E2">
        <w:rPr>
          <w:w w:val="105"/>
        </w:rPr>
        <w:t>по крупным и средним организациям</w:t>
      </w:r>
      <w:r w:rsidRPr="005473E2">
        <w:rPr>
          <w:w w:val="105"/>
        </w:rPr>
        <w:t xml:space="preserve"> городского округа Электросталь</w:t>
      </w:r>
      <w:r w:rsidR="00DB2CCD" w:rsidRPr="005473E2">
        <w:rPr>
          <w:w w:val="105"/>
        </w:rPr>
        <w:t>, рассчитанная по методологии Росстата</w:t>
      </w:r>
      <w:r w:rsidR="00867ABC" w:rsidRPr="005473E2">
        <w:rPr>
          <w:w w:val="105"/>
        </w:rPr>
        <w:t xml:space="preserve"> (без учета численности работников по ДГПХ)</w:t>
      </w:r>
      <w:r w:rsidR="00DB2CCD" w:rsidRPr="005473E2">
        <w:rPr>
          <w:w w:val="105"/>
        </w:rPr>
        <w:t xml:space="preserve">, </w:t>
      </w:r>
      <w:r w:rsidR="00CA1FF1" w:rsidRPr="005473E2">
        <w:rPr>
          <w:w w:val="105"/>
        </w:rPr>
        <w:t>составила 106646,3 руб. С учетом численности работников по ДГПХ, средняя заработная плата работников крупных и средних предприятий городского округа за январь-июнь 2023 года состав</w:t>
      </w:r>
      <w:r w:rsidR="00DB2CCD" w:rsidRPr="005473E2">
        <w:rPr>
          <w:w w:val="105"/>
        </w:rPr>
        <w:t>ила</w:t>
      </w:r>
      <w:r w:rsidR="00CA1FF1" w:rsidRPr="005473E2">
        <w:rPr>
          <w:w w:val="105"/>
        </w:rPr>
        <w:t xml:space="preserve"> 66 636,77 руб., темп роста 102,3%, что соответствует темпам роста средней заработной платы по городскому округу на протяжении ряда последних лет.</w:t>
      </w:r>
    </w:p>
    <w:p w:rsidR="00CA1FF1" w:rsidRPr="005473E2" w:rsidRDefault="00DB2CCD" w:rsidP="00CA1FF1">
      <w:pPr>
        <w:ind w:firstLine="567"/>
        <w:jc w:val="both"/>
        <w:rPr>
          <w:w w:val="105"/>
        </w:rPr>
      </w:pPr>
      <w:r w:rsidRPr="005473E2">
        <w:rPr>
          <w:w w:val="105"/>
        </w:rPr>
        <w:t>Таким образом, в</w:t>
      </w:r>
      <w:r w:rsidR="00CA1FF1" w:rsidRPr="005473E2">
        <w:rPr>
          <w:w w:val="105"/>
        </w:rPr>
        <w:t xml:space="preserve"> 2023 году среднемесячная номинальная начисленная заработная плата работников (по полному кругу организаций) городского округа Электросталь </w:t>
      </w:r>
      <w:r w:rsidR="00867ABC" w:rsidRPr="005473E2">
        <w:rPr>
          <w:w w:val="105"/>
        </w:rPr>
        <w:t xml:space="preserve">(с учетом численности работников по ДГПХ) </w:t>
      </w:r>
      <w:r w:rsidR="00CA1FF1" w:rsidRPr="005473E2">
        <w:rPr>
          <w:w w:val="105"/>
        </w:rPr>
        <w:t xml:space="preserve">оценочно составит </w:t>
      </w:r>
      <w:r w:rsidR="006B0545" w:rsidRPr="005473E2">
        <w:rPr>
          <w:w w:val="105"/>
        </w:rPr>
        <w:t>64247</w:t>
      </w:r>
      <w:r w:rsidR="00CA1FF1" w:rsidRPr="005473E2">
        <w:rPr>
          <w:w w:val="105"/>
        </w:rPr>
        <w:t xml:space="preserve"> руб. (темп роста – </w:t>
      </w:r>
      <w:r w:rsidR="006B0545" w:rsidRPr="005473E2">
        <w:rPr>
          <w:w w:val="105"/>
        </w:rPr>
        <w:t>109,4</w:t>
      </w:r>
      <w:r w:rsidR="00CA1FF1" w:rsidRPr="005473E2">
        <w:rPr>
          <w:w w:val="105"/>
        </w:rPr>
        <w:t xml:space="preserve">%), по крупным и средним организациям городского округа – </w:t>
      </w:r>
      <w:r w:rsidR="006B0545" w:rsidRPr="005473E2">
        <w:rPr>
          <w:w w:val="105"/>
        </w:rPr>
        <w:t>69 081,2</w:t>
      </w:r>
      <w:r w:rsidR="00CA1FF1" w:rsidRPr="005473E2">
        <w:rPr>
          <w:w w:val="105"/>
        </w:rPr>
        <w:t xml:space="preserve"> (темп роста – 10</w:t>
      </w:r>
      <w:r w:rsidR="006B0545" w:rsidRPr="005473E2">
        <w:rPr>
          <w:w w:val="105"/>
        </w:rPr>
        <w:t>6</w:t>
      </w:r>
      <w:r w:rsidR="00CA1FF1" w:rsidRPr="005473E2">
        <w:rPr>
          <w:w w:val="105"/>
        </w:rPr>
        <w:t xml:space="preserve">,5%). Рост предполагается за счет индексации заработной платы. </w:t>
      </w:r>
    </w:p>
    <w:p w:rsidR="00CA1FF1" w:rsidRPr="005473E2" w:rsidRDefault="00CA1FF1" w:rsidP="00CA1FF1">
      <w:pPr>
        <w:ind w:firstLine="567"/>
        <w:jc w:val="both"/>
        <w:rPr>
          <w:w w:val="105"/>
        </w:rPr>
      </w:pPr>
      <w:r w:rsidRPr="005473E2">
        <w:rPr>
          <w:w w:val="105"/>
        </w:rPr>
        <w:lastRenderedPageBreak/>
        <w:t>На плановый период 2024-2026 годов прогнозируется умеренный рост среднемесячной заработной платы работников (по полному кругу организаций) городского округа</w:t>
      </w:r>
      <w:r w:rsidR="00867ABC" w:rsidRPr="005473E2">
        <w:rPr>
          <w:w w:val="105"/>
        </w:rPr>
        <w:t xml:space="preserve"> (с учетом численности работников по ДГПХ)</w:t>
      </w:r>
      <w:r w:rsidRPr="005473E2">
        <w:rPr>
          <w:w w:val="105"/>
        </w:rPr>
        <w:t xml:space="preserve">, в том </w:t>
      </w:r>
      <w:proofErr w:type="gramStart"/>
      <w:r w:rsidRPr="005473E2">
        <w:rPr>
          <w:w w:val="105"/>
        </w:rPr>
        <w:t xml:space="preserve">числе: </w:t>
      </w:r>
      <w:r w:rsidR="00867ABC" w:rsidRPr="005473E2">
        <w:rPr>
          <w:w w:val="105"/>
        </w:rPr>
        <w:t xml:space="preserve">  </w:t>
      </w:r>
      <w:proofErr w:type="gramEnd"/>
      <w:r w:rsidR="00867ABC" w:rsidRPr="005473E2">
        <w:rPr>
          <w:w w:val="105"/>
        </w:rPr>
        <w:t xml:space="preserve">                    </w:t>
      </w:r>
      <w:r w:rsidRPr="005473E2">
        <w:rPr>
          <w:w w:val="105"/>
        </w:rPr>
        <w:t xml:space="preserve">в 2024 году темп роста по базовому варианту планируется в размере </w:t>
      </w:r>
      <w:r w:rsidR="006B0545" w:rsidRPr="005473E2">
        <w:rPr>
          <w:w w:val="105"/>
        </w:rPr>
        <w:t>107,8</w:t>
      </w:r>
      <w:r w:rsidRPr="005473E2">
        <w:rPr>
          <w:w w:val="105"/>
        </w:rPr>
        <w:t xml:space="preserve">%, в 2025 году – </w:t>
      </w:r>
      <w:r w:rsidR="006B0545" w:rsidRPr="005473E2">
        <w:rPr>
          <w:w w:val="105"/>
        </w:rPr>
        <w:t>103,2</w:t>
      </w:r>
      <w:r w:rsidRPr="005473E2">
        <w:rPr>
          <w:w w:val="105"/>
        </w:rPr>
        <w:t xml:space="preserve">%, в 2025 году – </w:t>
      </w:r>
      <w:r w:rsidR="006B0545" w:rsidRPr="005473E2">
        <w:rPr>
          <w:w w:val="105"/>
        </w:rPr>
        <w:t>103,8</w:t>
      </w:r>
      <w:r w:rsidRPr="005473E2">
        <w:rPr>
          <w:w w:val="105"/>
        </w:rPr>
        <w:t>%.</w:t>
      </w:r>
    </w:p>
    <w:p w:rsidR="00CA1FF1" w:rsidRPr="005473E2" w:rsidRDefault="00CA1FF1" w:rsidP="00CA1FF1">
      <w:pPr>
        <w:ind w:firstLine="540"/>
        <w:jc w:val="both"/>
        <w:rPr>
          <w:w w:val="105"/>
        </w:rPr>
      </w:pPr>
    </w:p>
    <w:p w:rsidR="00CA1FF1" w:rsidRPr="005473E2" w:rsidRDefault="00CA1FF1" w:rsidP="00CA1FF1">
      <w:pPr>
        <w:ind w:firstLine="540"/>
        <w:jc w:val="both"/>
        <w:rPr>
          <w:rFonts w:cs="Times New Roman"/>
          <w:b/>
          <w:i/>
        </w:rPr>
      </w:pPr>
      <w:r w:rsidRPr="005473E2">
        <w:rPr>
          <w:rFonts w:cs="Times New Roman"/>
          <w:b/>
          <w:i/>
        </w:rPr>
        <w:t>Фонд начисленной заработной платы малых предприятий</w:t>
      </w:r>
    </w:p>
    <w:p w:rsidR="00CA1FF1" w:rsidRPr="005473E2" w:rsidRDefault="00CA1FF1" w:rsidP="00CA1FF1">
      <w:pPr>
        <w:ind w:firstLine="540"/>
        <w:jc w:val="both"/>
        <w:rPr>
          <w:w w:val="105"/>
        </w:rPr>
      </w:pPr>
      <w:r w:rsidRPr="005473E2">
        <w:rPr>
          <w:w w:val="105"/>
        </w:rPr>
        <w:t xml:space="preserve">Фонд заработной платы работников малых предприятий городского округа Электросталь в 2022 году составил 5,81 </w:t>
      </w:r>
      <w:proofErr w:type="spellStart"/>
      <w:r w:rsidRPr="005473E2">
        <w:rPr>
          <w:w w:val="105"/>
        </w:rPr>
        <w:t>млрд.руб</w:t>
      </w:r>
      <w:proofErr w:type="spellEnd"/>
      <w:r w:rsidRPr="005473E2">
        <w:rPr>
          <w:w w:val="105"/>
        </w:rPr>
        <w:t xml:space="preserve">., темп роста по сравнению с 2021 годом – 111,9%. Рост обусловлен увеличением </w:t>
      </w:r>
      <w:r w:rsidR="00A23311" w:rsidRPr="005473E2">
        <w:rPr>
          <w:w w:val="105"/>
        </w:rPr>
        <w:t xml:space="preserve">численности работников предприятий </w:t>
      </w:r>
      <w:r w:rsidRPr="005473E2">
        <w:rPr>
          <w:w w:val="105"/>
        </w:rPr>
        <w:t xml:space="preserve">малого бизнеса, а также развитием и модернизацией производства на предприятиях малого бизнеса. </w:t>
      </w:r>
    </w:p>
    <w:p w:rsidR="00CA1FF1" w:rsidRPr="005473E2" w:rsidRDefault="00CA1FF1" w:rsidP="00CA1FF1">
      <w:pPr>
        <w:widowControl w:val="0"/>
        <w:autoSpaceDE w:val="0"/>
        <w:autoSpaceDN w:val="0"/>
        <w:spacing w:before="23"/>
        <w:ind w:right="130" w:firstLine="540"/>
        <w:jc w:val="both"/>
        <w:rPr>
          <w:rFonts w:cs="Times New Roman"/>
          <w:w w:val="105"/>
          <w:lang w:bidi="ru-RU"/>
        </w:rPr>
      </w:pPr>
      <w:r w:rsidRPr="005473E2">
        <w:rPr>
          <w:rFonts w:cs="Times New Roman"/>
          <w:w w:val="105"/>
          <w:lang w:bidi="ru-RU"/>
        </w:rPr>
        <w:t xml:space="preserve">Среднемесячная заработная плата работников малых предприятий (включая </w:t>
      </w:r>
      <w:proofErr w:type="spellStart"/>
      <w:r w:rsidRPr="005473E2">
        <w:rPr>
          <w:rFonts w:cs="Times New Roman"/>
          <w:w w:val="105"/>
          <w:lang w:bidi="ru-RU"/>
        </w:rPr>
        <w:t>микропредприятия</w:t>
      </w:r>
      <w:proofErr w:type="spellEnd"/>
      <w:r w:rsidRPr="005473E2">
        <w:rPr>
          <w:rFonts w:cs="Times New Roman"/>
          <w:w w:val="105"/>
          <w:lang w:bidi="ru-RU"/>
        </w:rPr>
        <w:t xml:space="preserve">) в 2022 году составила 42808 руб. Увеличение по сравнению с 2021 годом (110,2%) обусловлено ростом уровня развития производства, повышением квалификации работников, что в свою очередь влияет на результаты труда и качество труда работников. Применение современных технологий, использование </w:t>
      </w:r>
      <w:proofErr w:type="spellStart"/>
      <w:r w:rsidRPr="005473E2">
        <w:rPr>
          <w:rFonts w:cs="Times New Roman"/>
          <w:w w:val="105"/>
          <w:lang w:bidi="ru-RU"/>
        </w:rPr>
        <w:t>трудозамещающих</w:t>
      </w:r>
      <w:proofErr w:type="spellEnd"/>
      <w:r w:rsidRPr="005473E2">
        <w:rPr>
          <w:rFonts w:cs="Times New Roman"/>
          <w:w w:val="105"/>
          <w:lang w:bidi="ru-RU"/>
        </w:rPr>
        <w:t xml:space="preserve"> и трудосберегающих технологий способствует повышению производительности труда, увеличению выпуска продукции, а также росту уровня развития рынка труда.</w:t>
      </w:r>
    </w:p>
    <w:p w:rsidR="00867ABC" w:rsidRPr="005473E2" w:rsidRDefault="00867ABC" w:rsidP="00CA1FF1">
      <w:pPr>
        <w:widowControl w:val="0"/>
        <w:autoSpaceDE w:val="0"/>
        <w:autoSpaceDN w:val="0"/>
        <w:spacing w:before="23"/>
        <w:ind w:right="130" w:firstLine="540"/>
        <w:jc w:val="both"/>
        <w:rPr>
          <w:rFonts w:cs="Times New Roman"/>
          <w:w w:val="105"/>
          <w:lang w:bidi="ru-RU"/>
        </w:rPr>
      </w:pPr>
    </w:p>
    <w:p w:rsidR="00867ABC" w:rsidRPr="005473E2" w:rsidRDefault="00867ABC" w:rsidP="00867ABC">
      <w:pPr>
        <w:widowControl w:val="0"/>
        <w:autoSpaceDE w:val="0"/>
        <w:autoSpaceDN w:val="0"/>
        <w:spacing w:before="23"/>
        <w:ind w:right="130" w:firstLine="540"/>
        <w:jc w:val="both"/>
        <w:rPr>
          <w:rFonts w:cs="Times New Roman"/>
          <w:b/>
          <w:i/>
          <w:w w:val="105"/>
          <w:lang w:bidi="ru-RU"/>
        </w:rPr>
      </w:pPr>
      <w:r w:rsidRPr="005473E2">
        <w:rPr>
          <w:rFonts w:cs="Times New Roman"/>
          <w:b/>
          <w:i/>
        </w:rPr>
        <w:t>Среднемесячная заработная плата отдельных категорий работников социальной сферы</w:t>
      </w:r>
    </w:p>
    <w:p w:rsidR="00867ABC" w:rsidRPr="005473E2" w:rsidRDefault="00867ABC" w:rsidP="00867ABC">
      <w:pPr>
        <w:ind w:firstLine="540"/>
        <w:jc w:val="both"/>
      </w:pPr>
      <w:r w:rsidRPr="005473E2">
        <w:t xml:space="preserve">Особое внимание уделяется росту средней заработной платы работникам муниципальных образовательных учреждений и учреждений культуры городского округа Электросталь. </w:t>
      </w:r>
    </w:p>
    <w:p w:rsidR="00867ABC" w:rsidRPr="005473E2" w:rsidRDefault="00867ABC" w:rsidP="00867ABC">
      <w:pPr>
        <w:ind w:firstLine="540"/>
        <w:jc w:val="both"/>
      </w:pPr>
      <w:r w:rsidRPr="005473E2">
        <w:t xml:space="preserve">Среднемесячная номинальная начисленная заработная плата педагогических работников муниципальных образовательных учреждений за 2022 год составила 63959,0 руб., отношение к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 114,9%. </w:t>
      </w:r>
    </w:p>
    <w:p w:rsidR="00867ABC" w:rsidRPr="005473E2" w:rsidRDefault="00867ABC" w:rsidP="00867ABC">
      <w:pPr>
        <w:ind w:firstLine="540"/>
        <w:jc w:val="both"/>
      </w:pPr>
      <w:r w:rsidRPr="005473E2">
        <w:t xml:space="preserve">В 2023 году средняя заработная плата педагогических работников муниципальных образовательных учреждений по оценке составит 67924,4 </w:t>
      </w:r>
      <w:proofErr w:type="spellStart"/>
      <w:r w:rsidRPr="005473E2">
        <w:t>руб</w:t>
      </w:r>
      <w:proofErr w:type="spellEnd"/>
      <w:r w:rsidRPr="005473E2">
        <w:t xml:space="preserve"> (отношение – 108,9%), в прогнозный период 2024-2026 годов планируется дальнейший рост средней заработной платы педагогических работников муниципальных образовательных учреждений, к 2026 году она достигнет 75075,2 руб.</w:t>
      </w:r>
    </w:p>
    <w:p w:rsidR="00867ABC" w:rsidRPr="005473E2" w:rsidRDefault="00867ABC" w:rsidP="00867ABC">
      <w:pPr>
        <w:ind w:firstLine="567"/>
        <w:jc w:val="both"/>
      </w:pPr>
      <w:r w:rsidRPr="005473E2">
        <w:t xml:space="preserve">Среднемесячная номинальная начисленная заработная плата педагогических работников дошкольных муниципальных образовательных учреждений за 2022 год составила 59931,7 руб., отношение к среднемесячной заработной плате работников в общеобразовательных организациях в Московской области – 98,3%. </w:t>
      </w:r>
    </w:p>
    <w:p w:rsidR="00867ABC" w:rsidRPr="005473E2" w:rsidRDefault="00867ABC" w:rsidP="00867ABC">
      <w:pPr>
        <w:ind w:firstLine="567"/>
        <w:jc w:val="both"/>
      </w:pPr>
      <w:r w:rsidRPr="005473E2">
        <w:t>В 2023 году средняя заработная плата педагогических работников дошкольных муниципальных образовательных учреждений по оценке составит 63738,9 руб. (отношение – 100%), в прогнозный период 2024-2026 годов планируется дальнейший рост средней заработной платы педагогических работников дошкольных муниципальных образовательных учреждений, к 2026 году она достигнет 66413,5 руб.</w:t>
      </w:r>
    </w:p>
    <w:p w:rsidR="00867ABC" w:rsidRPr="005473E2" w:rsidRDefault="00867ABC" w:rsidP="00867ABC">
      <w:pPr>
        <w:ind w:firstLine="567"/>
        <w:jc w:val="both"/>
      </w:pPr>
      <w:r w:rsidRPr="005473E2">
        <w:t xml:space="preserve">Среднемесячная номинальная начисленная заработная плата педагогических работников муниципальных учреждений дополнительного образования детей за 2022 год составила 68603,3 руб., отношение к средней заработной плате учителей в Московской области – 100,5%. </w:t>
      </w:r>
    </w:p>
    <w:p w:rsidR="00867ABC" w:rsidRPr="005473E2" w:rsidRDefault="00867ABC" w:rsidP="00867ABC">
      <w:pPr>
        <w:ind w:firstLine="567"/>
        <w:jc w:val="both"/>
      </w:pPr>
      <w:r w:rsidRPr="005473E2">
        <w:t xml:space="preserve">В 2023 году средняя заработная плата педагогических работников муниципальных учреждений дополнительного образования детей по оценке составит 43679,9 руб. (отношение – 101,7%), в прогнозный период 2024-2026 годов планируется дальнейший рост </w:t>
      </w:r>
      <w:r w:rsidRPr="005473E2">
        <w:lastRenderedPageBreak/>
        <w:t>средней заработной платы педагогических работников муниципальных учреждений дополнительного образования детей, к 2026 году она достигнет 75075,2 руб.</w:t>
      </w:r>
    </w:p>
    <w:p w:rsidR="00E85D1B" w:rsidRPr="005473E2" w:rsidRDefault="00E85D1B" w:rsidP="00E85D1B">
      <w:pPr>
        <w:ind w:firstLine="540"/>
        <w:jc w:val="both"/>
      </w:pPr>
      <w:r w:rsidRPr="005473E2">
        <w:t xml:space="preserve">Среднемесячная номинальная начисленная заработная плата работников муниципальных учреждений культуры за 2022 год составила 55071,6 руб., отношение к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 98,9%. </w:t>
      </w:r>
    </w:p>
    <w:p w:rsidR="00E85D1B" w:rsidRPr="005473E2" w:rsidRDefault="00E85D1B" w:rsidP="00E85D1B">
      <w:pPr>
        <w:ind w:firstLine="540"/>
        <w:jc w:val="both"/>
      </w:pPr>
      <w:r w:rsidRPr="005473E2">
        <w:t>В 2023 году средняя заработная плата работников муниципальных учреждений культуры по оценке составит 62357,1 руб. (отношение – 100%), в прогнозный период 2024-2026 годов планируется дальнейший рост средней заработной платы работников муниципальных учреждений культуры, к 2026 году она достигнет 75075,2 руб.</w:t>
      </w:r>
    </w:p>
    <w:p w:rsidR="00CA1FF1" w:rsidRPr="005473E2" w:rsidRDefault="00CA1FF1" w:rsidP="00CA1FF1">
      <w:pPr>
        <w:rPr>
          <w:rFonts w:cs="Times New Roman"/>
          <w:b/>
          <w:bCs/>
        </w:rPr>
      </w:pPr>
    </w:p>
    <w:p w:rsidR="00CA1FF1" w:rsidRPr="005473E2" w:rsidRDefault="00CA1FF1" w:rsidP="00CA1FF1">
      <w:pPr>
        <w:ind w:firstLine="567"/>
        <w:rPr>
          <w:rFonts w:cs="Times New Roman"/>
          <w:b/>
          <w:bCs/>
        </w:rPr>
      </w:pPr>
      <w:r w:rsidRPr="005473E2">
        <w:rPr>
          <w:rFonts w:cs="Times New Roman"/>
          <w:b/>
          <w:bCs/>
        </w:rPr>
        <w:t>Торговля и услуги</w:t>
      </w:r>
    </w:p>
    <w:p w:rsidR="00CA1FF1" w:rsidRPr="005473E2" w:rsidRDefault="00CA1FF1" w:rsidP="00CA1FF1">
      <w:pPr>
        <w:ind w:firstLine="567"/>
        <w:jc w:val="both"/>
        <w:rPr>
          <w:rFonts w:cs="Times New Roman"/>
        </w:rPr>
      </w:pPr>
      <w:r w:rsidRPr="005473E2">
        <w:rPr>
          <w:rFonts w:cs="Times New Roman"/>
        </w:rPr>
        <w:t>На территории городского округа Электросталь осуществляют деятельность крупные предприятия оптовой и розничной торговли: торговый центр «Меридиан», торгово-развлекательный центр «</w:t>
      </w:r>
      <w:proofErr w:type="spellStart"/>
      <w:r w:rsidRPr="005473E2">
        <w:rPr>
          <w:rFonts w:cs="Times New Roman"/>
        </w:rPr>
        <w:t>Эльград</w:t>
      </w:r>
      <w:proofErr w:type="spellEnd"/>
      <w:r w:rsidRPr="005473E2">
        <w:rPr>
          <w:rFonts w:cs="Times New Roman"/>
        </w:rPr>
        <w:t>», культурно-развлекательный центр «Парк Плаза», торговый центр «Центральный», торговый центр «Первый», два торговых центра «АТАК», мебельный центр «Интерьер», торговый комплекс «Восточный», торговый комплекс «</w:t>
      </w:r>
      <w:proofErr w:type="spellStart"/>
      <w:r w:rsidRPr="005473E2">
        <w:rPr>
          <w:rFonts w:cs="Times New Roman"/>
        </w:rPr>
        <w:t>Анже</w:t>
      </w:r>
      <w:proofErr w:type="spellEnd"/>
      <w:r w:rsidRPr="005473E2">
        <w:rPr>
          <w:rFonts w:cs="Times New Roman"/>
        </w:rPr>
        <w:t>», торгово-офисный центр «Лотос», торговый центр «Южный», гипермаркеты «Глобус» и «</w:t>
      </w:r>
      <w:proofErr w:type="spellStart"/>
      <w:r w:rsidRPr="005473E2">
        <w:rPr>
          <w:rFonts w:cs="Times New Roman"/>
        </w:rPr>
        <w:t>Касторама</w:t>
      </w:r>
      <w:proofErr w:type="spellEnd"/>
      <w:r w:rsidRPr="005473E2">
        <w:rPr>
          <w:rFonts w:cs="Times New Roman"/>
        </w:rPr>
        <w:t>».</w:t>
      </w:r>
    </w:p>
    <w:p w:rsidR="00CA1FF1" w:rsidRPr="005473E2" w:rsidRDefault="00CA1FF1" w:rsidP="00CA1FF1">
      <w:pPr>
        <w:ind w:firstLine="567"/>
        <w:jc w:val="both"/>
        <w:rPr>
          <w:rFonts w:cs="Times New Roman"/>
        </w:rPr>
      </w:pPr>
      <w:r w:rsidRPr="005473E2">
        <w:rPr>
          <w:rFonts w:cs="Times New Roman"/>
        </w:rPr>
        <w:t>В 2022 году введён 81 объект розничной торговли, наиболее крупные: магазин «</w:t>
      </w:r>
      <w:proofErr w:type="spellStart"/>
      <w:r w:rsidRPr="005473E2">
        <w:rPr>
          <w:rFonts w:cs="Times New Roman"/>
        </w:rPr>
        <w:t>Familia</w:t>
      </w:r>
      <w:proofErr w:type="spellEnd"/>
      <w:r w:rsidRPr="005473E2">
        <w:rPr>
          <w:rFonts w:cs="Times New Roman"/>
        </w:rPr>
        <w:t>», магазин «Лента», магазин «</w:t>
      </w:r>
      <w:proofErr w:type="spellStart"/>
      <w:r w:rsidRPr="005473E2">
        <w:rPr>
          <w:rFonts w:cs="Times New Roman"/>
        </w:rPr>
        <w:t>Мегахенд</w:t>
      </w:r>
      <w:proofErr w:type="spellEnd"/>
      <w:r w:rsidRPr="005473E2">
        <w:rPr>
          <w:rFonts w:cs="Times New Roman"/>
        </w:rPr>
        <w:t>», магазин «</w:t>
      </w:r>
      <w:r w:rsidR="006A4A11" w:rsidRPr="005473E2">
        <w:rPr>
          <w:rFonts w:cs="Times New Roman"/>
        </w:rPr>
        <w:t>Пятерочка» магазин «Сантехника»</w:t>
      </w:r>
      <w:r w:rsidRPr="005473E2">
        <w:rPr>
          <w:rFonts w:cs="Times New Roman"/>
        </w:rPr>
        <w:t xml:space="preserve">, магазин «Эконом мебель» и др. </w:t>
      </w:r>
    </w:p>
    <w:p w:rsidR="00CA1FF1" w:rsidRPr="005473E2" w:rsidRDefault="00CA1FF1" w:rsidP="00CA1FF1">
      <w:pPr>
        <w:ind w:firstLine="567"/>
        <w:jc w:val="both"/>
        <w:rPr>
          <w:rFonts w:cs="Times New Roman"/>
        </w:rPr>
      </w:pPr>
      <w:r w:rsidRPr="005473E2">
        <w:rPr>
          <w:rFonts w:cs="Times New Roman"/>
        </w:rPr>
        <w:t xml:space="preserve">В 2023 году планируется ввести 63 предприятия потребительского рынка общей </w:t>
      </w:r>
      <w:proofErr w:type="gramStart"/>
      <w:r w:rsidRPr="005473E2">
        <w:rPr>
          <w:rFonts w:cs="Times New Roman"/>
        </w:rPr>
        <w:t>площадью  5</w:t>
      </w:r>
      <w:proofErr w:type="gramEnd"/>
      <w:r w:rsidRPr="005473E2">
        <w:rPr>
          <w:rFonts w:cs="Times New Roman"/>
        </w:rPr>
        <w:t xml:space="preserve">,6 </w:t>
      </w:r>
      <w:proofErr w:type="spellStart"/>
      <w:r w:rsidRPr="005473E2">
        <w:rPr>
          <w:rFonts w:cs="Times New Roman"/>
        </w:rPr>
        <w:t>тыс.кв</w:t>
      </w:r>
      <w:proofErr w:type="spellEnd"/>
      <w:r w:rsidRPr="005473E2">
        <w:rPr>
          <w:rFonts w:cs="Times New Roman"/>
        </w:rPr>
        <w:t xml:space="preserve">. метров, в том числе : магазин «Первый выбор», магазин «Пятерочка», магазин VIP аксессуары. </w:t>
      </w:r>
    </w:p>
    <w:p w:rsidR="00CA1FF1" w:rsidRPr="005473E2" w:rsidRDefault="00CA1FF1" w:rsidP="00CA1FF1">
      <w:pPr>
        <w:ind w:firstLine="567"/>
        <w:jc w:val="both"/>
        <w:rPr>
          <w:rFonts w:cs="Times New Roman"/>
        </w:rPr>
      </w:pPr>
      <w:r w:rsidRPr="005473E2">
        <w:rPr>
          <w:rFonts w:cs="Times New Roman"/>
        </w:rPr>
        <w:t xml:space="preserve">Оборот розничной торговли по крупным и средним организациям (без организаций с численностью работающих менее 15 человек) составил в 2022 году 29,82 </w:t>
      </w:r>
      <w:proofErr w:type="spellStart"/>
      <w:r w:rsidRPr="005473E2">
        <w:rPr>
          <w:rFonts w:cs="Times New Roman"/>
        </w:rPr>
        <w:t>млрд.руб</w:t>
      </w:r>
      <w:proofErr w:type="spellEnd"/>
      <w:r w:rsidRPr="005473E2">
        <w:rPr>
          <w:rFonts w:cs="Times New Roman"/>
        </w:rPr>
        <w:t xml:space="preserve">., индекс физического объема – </w:t>
      </w:r>
      <w:r w:rsidR="006A4A11" w:rsidRPr="005473E2">
        <w:rPr>
          <w:rFonts w:cs="Times New Roman"/>
        </w:rPr>
        <w:t>88,7</w:t>
      </w:r>
      <w:r w:rsidRPr="005473E2">
        <w:rPr>
          <w:rFonts w:cs="Times New Roman"/>
        </w:rPr>
        <w:t>%. Причина снижения индекса физического объема – высокий уровень инфляции, в 2022 году индекс-дефлятор цен составил 116,9%.</w:t>
      </w:r>
    </w:p>
    <w:p w:rsidR="00CA1FF1" w:rsidRPr="005473E2" w:rsidRDefault="00CA1FF1" w:rsidP="00CA1FF1">
      <w:pPr>
        <w:ind w:firstLine="567"/>
        <w:jc w:val="both"/>
        <w:rPr>
          <w:rFonts w:cs="Times New Roman"/>
        </w:rPr>
      </w:pPr>
      <w:r w:rsidRPr="005473E2">
        <w:rPr>
          <w:rFonts w:cs="Times New Roman"/>
        </w:rPr>
        <w:t xml:space="preserve">В 2023 году оборот розничной торговли по городскому округу оценочно составит 31,39 </w:t>
      </w:r>
      <w:proofErr w:type="spellStart"/>
      <w:r w:rsidRPr="005473E2">
        <w:rPr>
          <w:rFonts w:cs="Times New Roman"/>
        </w:rPr>
        <w:t>млрд.руб</w:t>
      </w:r>
      <w:proofErr w:type="spellEnd"/>
      <w:r w:rsidRPr="005473E2">
        <w:rPr>
          <w:rFonts w:cs="Times New Roman"/>
        </w:rPr>
        <w:t xml:space="preserve">., индекс физического объема – 101%, индекс-дефлятор цен оценочно составит 104,2%. Рост обусловлен открытием </w:t>
      </w:r>
      <w:r w:rsidR="00EA3558" w:rsidRPr="005473E2">
        <w:rPr>
          <w:rFonts w:cs="Times New Roman"/>
        </w:rPr>
        <w:t>новых предприятий</w:t>
      </w:r>
      <w:r w:rsidRPr="005473E2">
        <w:rPr>
          <w:rFonts w:cs="Times New Roman"/>
        </w:rPr>
        <w:t xml:space="preserve"> потребительского рынка, расширение ассортимента продукции за счет развития </w:t>
      </w:r>
      <w:proofErr w:type="spellStart"/>
      <w:r w:rsidRPr="005473E2">
        <w:rPr>
          <w:rFonts w:cs="Times New Roman"/>
        </w:rPr>
        <w:t>импортозамещения</w:t>
      </w:r>
      <w:proofErr w:type="spellEnd"/>
      <w:r w:rsidRPr="005473E2">
        <w:rPr>
          <w:rFonts w:cs="Times New Roman"/>
        </w:rPr>
        <w:t>, стабилизация потребительского спроса</w:t>
      </w:r>
    </w:p>
    <w:p w:rsidR="00CA1FF1" w:rsidRPr="005473E2" w:rsidRDefault="00CA1FF1" w:rsidP="00CA1FF1">
      <w:pPr>
        <w:ind w:firstLine="567"/>
        <w:jc w:val="both"/>
        <w:rPr>
          <w:rFonts w:cs="Times New Roman"/>
        </w:rPr>
      </w:pPr>
      <w:r w:rsidRPr="005473E2">
        <w:rPr>
          <w:rFonts w:cs="Times New Roman"/>
        </w:rPr>
        <w:t>Рост оборота розничной торговли в прогнозном периоде планируется достичь за счет увеличения количества предприятий потребительского рынка, увеличения покупательской способности граждан в связи с ростом заработной платы, а также за счет роста цен на товары первой необходимости.</w:t>
      </w:r>
    </w:p>
    <w:p w:rsidR="00AA0B10" w:rsidRPr="005473E2" w:rsidRDefault="00AA0B10" w:rsidP="00CA1FF1">
      <w:pPr>
        <w:ind w:firstLine="567"/>
        <w:jc w:val="both"/>
        <w:rPr>
          <w:rFonts w:cs="Times New Roman"/>
        </w:rPr>
      </w:pPr>
    </w:p>
    <w:p w:rsidR="00CA1FF1" w:rsidRPr="005473E2" w:rsidRDefault="00CA1FF1" w:rsidP="00CA1FF1">
      <w:pPr>
        <w:ind w:firstLine="567"/>
        <w:jc w:val="both"/>
        <w:rPr>
          <w:rFonts w:cs="Times New Roman"/>
          <w:b/>
          <w:bCs/>
        </w:rPr>
      </w:pPr>
      <w:r w:rsidRPr="005473E2">
        <w:rPr>
          <w:rFonts w:cs="Times New Roman"/>
        </w:rPr>
        <w:t xml:space="preserve"> </w:t>
      </w:r>
      <w:r w:rsidRPr="005473E2">
        <w:rPr>
          <w:rFonts w:cs="Times New Roman"/>
          <w:b/>
          <w:bCs/>
        </w:rPr>
        <w:t>Образование</w:t>
      </w:r>
    </w:p>
    <w:p w:rsidR="00CA1FF1" w:rsidRPr="005473E2" w:rsidRDefault="00CA1FF1" w:rsidP="00CA1FF1">
      <w:pPr>
        <w:tabs>
          <w:tab w:val="left" w:pos="567"/>
        </w:tabs>
        <w:suppressAutoHyphens/>
        <w:ind w:firstLine="567"/>
        <w:jc w:val="both"/>
        <w:rPr>
          <w:rFonts w:eastAsia="DejaVu Sans" w:cs="Times New Roman"/>
        </w:rPr>
      </w:pPr>
      <w:r w:rsidRPr="005473E2">
        <w:rPr>
          <w:rFonts w:eastAsia="DejaVu Sans" w:cs="Times New Roman"/>
        </w:rPr>
        <w:t xml:space="preserve">В целях повышения качества образовательных услуг, создания единого образовательного пространства, практической реализации единых подходов к обучению в городском округе Электросталь с 1 сентября 2021 года созданы 15 образовательных комплексов: рядом стоящие детские сады и школы реорганизованы в форме присоединения. </w:t>
      </w:r>
    </w:p>
    <w:p w:rsidR="00CA1FF1" w:rsidRPr="005473E2" w:rsidRDefault="00CA1FF1" w:rsidP="00CA1FF1">
      <w:pPr>
        <w:tabs>
          <w:tab w:val="left" w:pos="567"/>
        </w:tabs>
        <w:suppressAutoHyphens/>
        <w:ind w:firstLine="567"/>
        <w:jc w:val="both"/>
        <w:rPr>
          <w:rFonts w:eastAsia="DejaVu Sans" w:cs="Times New Roman"/>
        </w:rPr>
      </w:pPr>
      <w:r w:rsidRPr="005473E2">
        <w:rPr>
          <w:rFonts w:eastAsia="DejaVu Sans" w:cs="Times New Roman"/>
        </w:rPr>
        <w:t xml:space="preserve">В результате, с 1 сентября 2021 года образовательная сеть городского округа Электросталь </w:t>
      </w:r>
      <w:r w:rsidR="00AA0B10" w:rsidRPr="005473E2">
        <w:rPr>
          <w:rFonts w:eastAsia="DejaVu Sans" w:cs="Times New Roman"/>
        </w:rPr>
        <w:t xml:space="preserve">была </w:t>
      </w:r>
      <w:r w:rsidRPr="005473E2">
        <w:rPr>
          <w:rFonts w:eastAsia="DejaVu Sans" w:cs="Times New Roman"/>
        </w:rPr>
        <w:t>представлена двумя детскими дошкольными и девятнадцатью общеобразовательными учреждениями (из них 15 образовательных комплексов).</w:t>
      </w:r>
    </w:p>
    <w:p w:rsidR="00CA1FF1" w:rsidRPr="005473E2" w:rsidRDefault="00CA1FF1" w:rsidP="00CA1FF1">
      <w:pPr>
        <w:ind w:firstLine="567"/>
        <w:jc w:val="both"/>
        <w:rPr>
          <w:rFonts w:eastAsia="DejaVu Sans" w:cs="Times New Roman"/>
        </w:rPr>
      </w:pPr>
      <w:r w:rsidRPr="005473E2">
        <w:rPr>
          <w:rFonts w:eastAsia="DejaVu Sans" w:cs="Times New Roman"/>
        </w:rPr>
        <w:t>Реорганизация муниципальных дошкольных учреждений продолж</w:t>
      </w:r>
      <w:r w:rsidR="006A4A11" w:rsidRPr="005473E2">
        <w:rPr>
          <w:rFonts w:eastAsia="DejaVu Sans" w:cs="Times New Roman"/>
        </w:rPr>
        <w:t>илась в 2023 году: два муниципальных дошкольных учреждения реорганизованы путем присоединения к учреждениям общего образования.</w:t>
      </w:r>
    </w:p>
    <w:p w:rsidR="00CA1FF1" w:rsidRPr="005473E2" w:rsidRDefault="00BD10AF" w:rsidP="00CA1FF1">
      <w:pPr>
        <w:ind w:firstLine="567"/>
        <w:jc w:val="both"/>
        <w:rPr>
          <w:rFonts w:cs="Times New Roman"/>
        </w:rPr>
      </w:pPr>
      <w:r w:rsidRPr="005473E2">
        <w:rPr>
          <w:rFonts w:cs="Times New Roman"/>
        </w:rPr>
        <w:lastRenderedPageBreak/>
        <w:t>С 01.08.2023 все муниципальные дошкольные учреждения городского округа Электросталь вошли в состав учреждений общего образования.</w:t>
      </w:r>
    </w:p>
    <w:p w:rsidR="007611E3" w:rsidRPr="005473E2" w:rsidRDefault="007611E3" w:rsidP="007611E3">
      <w:pPr>
        <w:ind w:firstLine="567"/>
        <w:jc w:val="both"/>
        <w:rPr>
          <w:rFonts w:eastAsia="DejaVu Sans" w:cs="Times New Roman"/>
        </w:rPr>
      </w:pPr>
      <w:r w:rsidRPr="005473E2">
        <w:rPr>
          <w:rFonts w:eastAsia="DejaVu Sans" w:cs="Times New Roman"/>
        </w:rPr>
        <w:t xml:space="preserve">Общее число мест в дошкольных муниципальных образовательных организациях городского округа Электросталь составляет 7257 единиц. </w:t>
      </w:r>
    </w:p>
    <w:p w:rsidR="007611E3" w:rsidRPr="005473E2" w:rsidRDefault="007611E3" w:rsidP="00CA1FF1">
      <w:pPr>
        <w:ind w:firstLine="567"/>
        <w:jc w:val="both"/>
        <w:rPr>
          <w:rFonts w:cs="Times New Roman"/>
        </w:rPr>
      </w:pPr>
      <w:r w:rsidRPr="005473E2">
        <w:rPr>
          <w:rFonts w:cs="Times New Roman"/>
        </w:rPr>
        <w:t xml:space="preserve">Реорганизация муниципальных дошкольных учреждений не </w:t>
      </w:r>
      <w:r w:rsidR="00EA3558" w:rsidRPr="005473E2">
        <w:rPr>
          <w:rFonts w:cs="Times New Roman"/>
        </w:rPr>
        <w:t>привела</w:t>
      </w:r>
      <w:r w:rsidRPr="005473E2">
        <w:rPr>
          <w:rFonts w:cs="Times New Roman"/>
        </w:rPr>
        <w:t xml:space="preserve"> к сокращению мест, все дети города обеспечены местами в дошкольные учреждения на 100%. </w:t>
      </w:r>
    </w:p>
    <w:p w:rsidR="00CA1FF1" w:rsidRPr="005473E2" w:rsidRDefault="007611E3" w:rsidP="00CA1FF1">
      <w:pPr>
        <w:ind w:firstLine="567"/>
        <w:jc w:val="both"/>
        <w:rPr>
          <w:rFonts w:cs="Times New Roman"/>
        </w:rPr>
      </w:pPr>
      <w:r w:rsidRPr="005473E2">
        <w:rPr>
          <w:rFonts w:cs="Times New Roman"/>
        </w:rPr>
        <w:t>С</w:t>
      </w:r>
      <w:r w:rsidR="00CA1FF1" w:rsidRPr="005473E2">
        <w:rPr>
          <w:rFonts w:cs="Times New Roman"/>
        </w:rPr>
        <w:t xml:space="preserve">истема общего образования представлена 18 </w:t>
      </w:r>
      <w:r w:rsidRPr="005473E2">
        <w:rPr>
          <w:rFonts w:cs="Times New Roman"/>
        </w:rPr>
        <w:t xml:space="preserve">муниципальными </w:t>
      </w:r>
      <w:r w:rsidR="00CA1FF1" w:rsidRPr="005473E2">
        <w:rPr>
          <w:rFonts w:cs="Times New Roman"/>
        </w:rPr>
        <w:t>общеобразовательными учреждениями</w:t>
      </w:r>
      <w:r w:rsidRPr="005473E2">
        <w:rPr>
          <w:rFonts w:cs="Times New Roman"/>
        </w:rPr>
        <w:t xml:space="preserve"> с общим количеством мест 17205 единиц.</w:t>
      </w:r>
    </w:p>
    <w:p w:rsidR="007611E3" w:rsidRPr="005473E2" w:rsidRDefault="007611E3" w:rsidP="00CA1FF1">
      <w:pPr>
        <w:ind w:firstLine="567"/>
        <w:jc w:val="both"/>
        <w:rPr>
          <w:rFonts w:cs="Times New Roman"/>
        </w:rPr>
      </w:pPr>
      <w:r w:rsidRPr="005473E2">
        <w:rPr>
          <w:rFonts w:cs="Times New Roman"/>
        </w:rPr>
        <w:t xml:space="preserve">Общее число обучающихся в муниципальных </w:t>
      </w:r>
      <w:r w:rsidR="006D7CCF" w:rsidRPr="005473E2">
        <w:rPr>
          <w:rFonts w:cs="Times New Roman"/>
        </w:rPr>
        <w:t>образовательных учреждениях</w:t>
      </w:r>
      <w:r w:rsidRPr="005473E2">
        <w:rPr>
          <w:rFonts w:cs="Times New Roman"/>
        </w:rPr>
        <w:t xml:space="preserve"> </w:t>
      </w:r>
      <w:r w:rsidR="006D7CCF" w:rsidRPr="005473E2">
        <w:rPr>
          <w:rFonts w:cs="Times New Roman"/>
        </w:rPr>
        <w:t xml:space="preserve">составляет </w:t>
      </w:r>
      <w:r w:rsidR="00EA3558" w:rsidRPr="005473E2">
        <w:rPr>
          <w:rFonts w:cs="Times New Roman"/>
        </w:rPr>
        <w:t xml:space="preserve">в </w:t>
      </w:r>
      <w:r w:rsidR="006D7CCF" w:rsidRPr="005473E2">
        <w:rPr>
          <w:rFonts w:cs="Times New Roman"/>
        </w:rPr>
        <w:t>2023 году 23654 чел</w:t>
      </w:r>
      <w:r w:rsidRPr="005473E2">
        <w:rPr>
          <w:rFonts w:cs="Times New Roman"/>
        </w:rPr>
        <w:t xml:space="preserve">.   </w:t>
      </w:r>
    </w:p>
    <w:p w:rsidR="006D7CCF" w:rsidRPr="005473E2" w:rsidRDefault="007611E3" w:rsidP="006D7CCF">
      <w:pPr>
        <w:ind w:firstLine="567"/>
        <w:jc w:val="both"/>
        <w:rPr>
          <w:rFonts w:cs="Times New Roman"/>
        </w:rPr>
      </w:pPr>
      <w:r w:rsidRPr="005473E2">
        <w:rPr>
          <w:rFonts w:cs="Times New Roman"/>
        </w:rPr>
        <w:t xml:space="preserve">В прогнозный период 2024-2026 годы численность обучающихся уменьшится </w:t>
      </w:r>
      <w:r w:rsidR="006D7CCF" w:rsidRPr="005473E2">
        <w:rPr>
          <w:rFonts w:cs="Times New Roman"/>
        </w:rPr>
        <w:t xml:space="preserve">(причина - прогнозируемое </w:t>
      </w:r>
      <w:r w:rsidRPr="005473E2">
        <w:rPr>
          <w:rFonts w:cs="Times New Roman"/>
        </w:rPr>
        <w:t>сниж</w:t>
      </w:r>
      <w:r w:rsidR="006D7CCF" w:rsidRPr="005473E2">
        <w:rPr>
          <w:rFonts w:cs="Times New Roman"/>
        </w:rPr>
        <w:t>ение численности населения городского округа Электросталь к 2026 году), и составит к 2026 году -23620 чел. В связи с этим, строительство новых образовательных объектов на территории городского округа не планируется.</w:t>
      </w:r>
    </w:p>
    <w:p w:rsidR="008270DC" w:rsidRPr="005473E2" w:rsidRDefault="008270DC" w:rsidP="008270DC">
      <w:pPr>
        <w:ind w:firstLine="567"/>
        <w:jc w:val="both"/>
      </w:pPr>
    </w:p>
    <w:p w:rsidR="008270DC" w:rsidRPr="005473E2" w:rsidRDefault="008270DC" w:rsidP="006D7CCF">
      <w:pPr>
        <w:ind w:firstLine="567"/>
        <w:jc w:val="both"/>
        <w:rPr>
          <w:rFonts w:cs="Times New Roman"/>
        </w:rPr>
        <w:sectPr w:rsidR="008270DC" w:rsidRPr="005473E2" w:rsidSect="000A3C7B">
          <w:headerReference w:type="default" r:id="rId10"/>
          <w:headerReference w:type="first" r:id="rId11"/>
          <w:pgSz w:w="11906" w:h="16838"/>
          <w:pgMar w:top="1134" w:right="850" w:bottom="1134" w:left="1701" w:header="708" w:footer="708" w:gutter="0"/>
          <w:cols w:space="708"/>
          <w:titlePg/>
          <w:docGrid w:linePitch="360"/>
        </w:sectPr>
      </w:pPr>
    </w:p>
    <w:tbl>
      <w:tblPr>
        <w:tblW w:w="15871" w:type="dxa"/>
        <w:tblLayout w:type="fixed"/>
        <w:tblLook w:val="04A0" w:firstRow="1" w:lastRow="0" w:firstColumn="1" w:lastColumn="0" w:noHBand="0" w:noVBand="1"/>
      </w:tblPr>
      <w:tblGrid>
        <w:gridCol w:w="3964"/>
        <w:gridCol w:w="1559"/>
        <w:gridCol w:w="993"/>
        <w:gridCol w:w="1134"/>
        <w:gridCol w:w="1134"/>
        <w:gridCol w:w="1134"/>
        <w:gridCol w:w="1134"/>
        <w:gridCol w:w="1134"/>
        <w:gridCol w:w="1275"/>
        <w:gridCol w:w="1134"/>
        <w:gridCol w:w="1276"/>
      </w:tblGrid>
      <w:tr w:rsidR="00CA1FF1" w:rsidRPr="005473E2" w:rsidTr="00F4265B">
        <w:trPr>
          <w:trHeight w:val="330"/>
        </w:trPr>
        <w:tc>
          <w:tcPr>
            <w:tcW w:w="396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b/>
                <w:bCs/>
                <w:sz w:val="20"/>
                <w:szCs w:val="20"/>
              </w:rPr>
            </w:pPr>
            <w:r w:rsidRPr="005473E2">
              <w:rPr>
                <w:rFonts w:cs="Times New Roman"/>
                <w:b/>
                <w:bCs/>
                <w:sz w:val="20"/>
                <w:szCs w:val="20"/>
              </w:rPr>
              <w:lastRenderedPageBreak/>
              <w:t>Наименование показателя</w:t>
            </w:r>
          </w:p>
        </w:tc>
        <w:tc>
          <w:tcPr>
            <w:tcW w:w="155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Единица измерения</w:t>
            </w:r>
          </w:p>
        </w:tc>
        <w:tc>
          <w:tcPr>
            <w:tcW w:w="2127" w:type="dxa"/>
            <w:gridSpan w:val="2"/>
            <w:tcBorders>
              <w:top w:val="single" w:sz="4" w:space="0" w:color="C0C0C0"/>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Отчет</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Оценка</w:t>
            </w:r>
          </w:p>
        </w:tc>
        <w:tc>
          <w:tcPr>
            <w:tcW w:w="2268" w:type="dxa"/>
            <w:gridSpan w:val="2"/>
            <w:tcBorders>
              <w:top w:val="single" w:sz="4" w:space="0" w:color="C0C0C0"/>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2024</w:t>
            </w:r>
          </w:p>
        </w:tc>
        <w:tc>
          <w:tcPr>
            <w:tcW w:w="2409" w:type="dxa"/>
            <w:gridSpan w:val="2"/>
            <w:tcBorders>
              <w:top w:val="single" w:sz="4" w:space="0" w:color="C0C0C0"/>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2025</w:t>
            </w:r>
          </w:p>
        </w:tc>
        <w:tc>
          <w:tcPr>
            <w:tcW w:w="2410" w:type="dxa"/>
            <w:gridSpan w:val="2"/>
            <w:tcBorders>
              <w:top w:val="single" w:sz="4" w:space="0" w:color="C0C0C0"/>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2026</w:t>
            </w:r>
          </w:p>
        </w:tc>
      </w:tr>
      <w:tr w:rsidR="00CA1FF1" w:rsidRPr="005473E2" w:rsidTr="00F4265B">
        <w:trPr>
          <w:trHeight w:val="1050"/>
        </w:trPr>
        <w:tc>
          <w:tcPr>
            <w:tcW w:w="3964" w:type="dxa"/>
            <w:vMerge/>
            <w:tcBorders>
              <w:top w:val="single" w:sz="4" w:space="0" w:color="C0C0C0"/>
              <w:left w:val="single" w:sz="4" w:space="0" w:color="C0C0C0"/>
              <w:bottom w:val="single" w:sz="4" w:space="0" w:color="C0C0C0"/>
              <w:right w:val="single" w:sz="4" w:space="0" w:color="C0C0C0"/>
            </w:tcBorders>
            <w:vAlign w:val="center"/>
            <w:hideMark/>
          </w:tcPr>
          <w:p w:rsidR="00CA1FF1" w:rsidRPr="005473E2" w:rsidRDefault="00CA1FF1" w:rsidP="00CA1FF1">
            <w:pPr>
              <w:rPr>
                <w:rFonts w:cs="Times New Roman"/>
                <w:b/>
                <w:bCs/>
                <w:sz w:val="20"/>
                <w:szCs w:val="20"/>
              </w:rPr>
            </w:pPr>
          </w:p>
        </w:tc>
        <w:tc>
          <w:tcPr>
            <w:tcW w:w="1559" w:type="dxa"/>
            <w:vMerge/>
            <w:tcBorders>
              <w:top w:val="single" w:sz="4" w:space="0" w:color="C0C0C0"/>
              <w:left w:val="single" w:sz="4" w:space="0" w:color="C0C0C0"/>
              <w:bottom w:val="single" w:sz="4" w:space="0" w:color="C0C0C0"/>
              <w:right w:val="single" w:sz="4" w:space="0" w:color="C0C0C0"/>
            </w:tcBorders>
            <w:vAlign w:val="center"/>
            <w:hideMark/>
          </w:tcPr>
          <w:p w:rsidR="00CA1FF1" w:rsidRPr="005473E2" w:rsidRDefault="00CA1FF1" w:rsidP="00CA1FF1">
            <w:pPr>
              <w:rPr>
                <w:rFonts w:cs="Times New Roman"/>
                <w:b/>
                <w:bCs/>
                <w:sz w:val="20"/>
                <w:szCs w:val="20"/>
              </w:rPr>
            </w:pPr>
          </w:p>
        </w:tc>
        <w:tc>
          <w:tcPr>
            <w:tcW w:w="993"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2021</w:t>
            </w:r>
          </w:p>
        </w:tc>
        <w:tc>
          <w:tcPr>
            <w:tcW w:w="1134"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2022</w:t>
            </w:r>
          </w:p>
        </w:tc>
        <w:tc>
          <w:tcPr>
            <w:tcW w:w="1134"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2023</w:t>
            </w:r>
          </w:p>
        </w:tc>
        <w:tc>
          <w:tcPr>
            <w:tcW w:w="1134"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Прогноз вариант 1 (консервативный)</w:t>
            </w:r>
          </w:p>
        </w:tc>
        <w:tc>
          <w:tcPr>
            <w:tcW w:w="1134"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Прогноз вариант 2 (базовый)</w:t>
            </w:r>
          </w:p>
        </w:tc>
        <w:tc>
          <w:tcPr>
            <w:tcW w:w="1134"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Прогноз вариант 1 (консервативный)</w:t>
            </w:r>
          </w:p>
        </w:tc>
        <w:tc>
          <w:tcPr>
            <w:tcW w:w="1275"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Прогноз вариант 2 (базовый)</w:t>
            </w:r>
          </w:p>
        </w:tc>
        <w:tc>
          <w:tcPr>
            <w:tcW w:w="1134"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Прогноз вариант 1 (консервативный)</w:t>
            </w:r>
          </w:p>
        </w:tc>
        <w:tc>
          <w:tcPr>
            <w:tcW w:w="1276"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b/>
                <w:bCs/>
                <w:sz w:val="20"/>
                <w:szCs w:val="20"/>
              </w:rPr>
            </w:pPr>
            <w:r w:rsidRPr="005473E2">
              <w:rPr>
                <w:rFonts w:cs="Times New Roman"/>
                <w:b/>
                <w:bCs/>
                <w:sz w:val="20"/>
                <w:szCs w:val="20"/>
              </w:rPr>
              <w:t>Прогноз вариант 2 (базовый)</w:t>
            </w:r>
          </w:p>
        </w:tc>
      </w:tr>
      <w:tr w:rsidR="00CA1FF1" w:rsidRPr="005473E2" w:rsidTr="00F4265B">
        <w:trPr>
          <w:trHeight w:val="3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b/>
                <w:bCs/>
                <w:sz w:val="20"/>
                <w:szCs w:val="20"/>
              </w:rPr>
            </w:pPr>
            <w:r w:rsidRPr="005473E2">
              <w:rPr>
                <w:rFonts w:cs="Times New Roman"/>
                <w:b/>
                <w:bCs/>
                <w:sz w:val="20"/>
                <w:szCs w:val="20"/>
              </w:rPr>
              <w:t>1. Демографические показатели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(на конец года)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154 701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152 190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150 303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148 441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148 474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146 502</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146 590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144 596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144 756</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Число родившихся</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1 173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1 079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1 143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1 144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1 144</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1 168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1 150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1 174</w:t>
            </w:r>
          </w:p>
        </w:tc>
      </w:tr>
      <w:tr w:rsidR="00CA1FF1" w:rsidRPr="005473E2" w:rsidTr="00F4265B">
        <w:trPr>
          <w:trHeight w:val="97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Общий коэффициент рождаемости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число родившихся на 1000 человек населения</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7,8</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7,9</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8,1</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Число умерших</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2 938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2 156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2 165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2 143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2 263</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2 239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2 256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2 211</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Общий коэффициент смертности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число умерших на 1000 человек населения</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18,8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15,3</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15,5</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15,2</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Естественный прирост (убыль) населения</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-1 765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-1 171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-1 013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-1 025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-999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-1 119</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-1 071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-1 106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-1 037</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Коэффициент естественного прироста (убыли) населения</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на 1000 человек населения</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-7,1</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Миграционный прирост (убыль) населения</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-1 862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-1 340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-874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-837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-830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-820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-813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-800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-797</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Общий прирост населения</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-3 627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-2 511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-1 887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-1 862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-1 829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-1 939</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-1 884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-1 906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-1 834</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(среднегодовая)</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156 515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153 446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151 247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149 372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149 389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147 472</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147 532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145 549</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145 673</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по численности постоянного населения, в том числе в возрасте:</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до 3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4 878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4 260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3 673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3 304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3 310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3 375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3 404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3 383</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3 435</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lastRenderedPageBreak/>
              <w:t>от 3 до 7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10 675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10 065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9 451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8 616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8 621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7 606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7 611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6 831</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6 836</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от 7 до 17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19 102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19 613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20 145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20 454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20 465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20 474</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20 485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20 190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20 202</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0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1 507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1 066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1 134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1 132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1 136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1 136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1 160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1 142</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1 166</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1 года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1 492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1 056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1 125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1 126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1 123</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1 127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1 127</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1 151</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2 года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1 655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1 702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1 483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1 048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1 116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1 117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1 114</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1 118</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3 года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1 890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1 639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1 691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1 473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1 474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1 037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1 038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1 107</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1 108</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4 года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2 045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1 872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1 627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1 680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1 681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1 462</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1 463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1 027</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1 028</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5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2 294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2 025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1 859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1 615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1 668</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1 669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1 450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1 451</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6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2 274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2 274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2 012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1 848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1 603</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1 604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1 656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1 657</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7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2 172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2 255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2 262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2 001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2 002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1 836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1 837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1 591</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1 592</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8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2 070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2 124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2 215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2 222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2 223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1 959</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1 960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1 795</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1 796</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9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2 041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2 023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2 084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2 175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2 176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2 181</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2 182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1 919</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1 920</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10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1 893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1 997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1 986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2 048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2 137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2 138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2 144</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2 145</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11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1 806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1 851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1 962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1 951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1 952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2 011</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2 012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2 102</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2 103</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12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1 691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1 767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1 818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1 929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1 930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1 917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1 918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1 978</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1 979</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lastRenderedPageBreak/>
              <w:t>Справочно</w:t>
            </w:r>
            <w:proofErr w:type="spellEnd"/>
            <w:r w:rsidRPr="005473E2">
              <w:rPr>
                <w:rFonts w:cs="Times New Roman"/>
                <w:sz w:val="20"/>
                <w:szCs w:val="20"/>
              </w:rPr>
              <w:t>: численность постоянного населения в возрасте 13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1 659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1 653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1 734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1 786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1 787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1 896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1 897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1 884</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1 885</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14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1 565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1 623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1 622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1 704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1 755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1 756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1 865</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1 866</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15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1 423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1 532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1 595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1 594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1 595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1 676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1 677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1 726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1 728</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16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1 429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1 390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1 504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1 567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1 568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1 566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1 567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1 647</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1 648</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постоянного населения в возрасте 17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1 353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1 398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1 363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1 478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1 479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1 540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1 541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1 539</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1 540</w:t>
            </w:r>
          </w:p>
        </w:tc>
      </w:tr>
      <w:tr w:rsidR="00CA1FF1" w:rsidRPr="005473E2" w:rsidTr="00F4265B">
        <w:trPr>
          <w:trHeight w:val="3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b/>
                <w:bCs/>
                <w:sz w:val="20"/>
                <w:szCs w:val="20"/>
              </w:rPr>
            </w:pPr>
            <w:r w:rsidRPr="005473E2">
              <w:rPr>
                <w:rFonts w:cs="Times New Roman"/>
                <w:b/>
                <w:bCs/>
                <w:sz w:val="20"/>
                <w:szCs w:val="20"/>
              </w:rPr>
              <w:t>3. Промышленное производство</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150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proofErr w:type="spellStart"/>
            <w:r w:rsidRPr="005473E2">
              <w:rPr>
                <w:rFonts w:cs="Times New Roman"/>
                <w:sz w:val="20"/>
                <w:szCs w:val="20"/>
              </w:rPr>
              <w:t>млн.руб.в</w:t>
            </w:r>
            <w:proofErr w:type="spellEnd"/>
            <w:r w:rsidRPr="005473E2">
              <w:rPr>
                <w:rFonts w:cs="Times New Roman"/>
                <w:sz w:val="20"/>
                <w:szCs w:val="20"/>
              </w:rPr>
              <w:t xml:space="preserve"> ценах соответствующих лет</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55 161,1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72 264,9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113 349,8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107 991,0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118 812,2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109 188,1</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126 042,2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111 454,8</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135 081,8</w:t>
            </w:r>
          </w:p>
        </w:tc>
      </w:tr>
      <w:tr w:rsidR="00CA1FF1" w:rsidRPr="005473E2" w:rsidTr="00F4265B">
        <w:trPr>
          <w:trHeight w:val="150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объема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131,0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156,9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95,3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101,1</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106,1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102,1</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107,2</w:t>
            </w:r>
          </w:p>
        </w:tc>
      </w:tr>
      <w:tr w:rsidR="00CA1FF1" w:rsidRPr="005473E2" w:rsidTr="00F4265B">
        <w:trPr>
          <w:trHeight w:val="10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Индекс промышленного производства по крупным и средним организациям (без организаций с численностью работающих менее 15 человек)</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111,1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124,8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154,4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91,1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97,5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98,5</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103,3</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индекс-дефлятор цен</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94,5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103,7</w:t>
            </w:r>
          </w:p>
        </w:tc>
      </w:tr>
      <w:tr w:rsidR="00CA1FF1" w:rsidRPr="005473E2" w:rsidTr="00F4265B">
        <w:trPr>
          <w:trHeight w:val="10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lastRenderedPageBreak/>
              <w:t>Справочно</w:t>
            </w:r>
            <w:proofErr w:type="spellEnd"/>
            <w:r w:rsidRPr="005473E2">
              <w:rPr>
                <w:rFonts w:cs="Times New Roman"/>
                <w:sz w:val="20"/>
                <w:szCs w:val="20"/>
              </w:rPr>
              <w:t>: по видам экономической деятельности по крупным и средним организациям (без организаций с численностью работающих менее 15 человек)</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Добыча полезных ископаемых</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150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Объем отгруженных товаров собственного производства, выполненных работ и услуг собственными силами </w:t>
            </w:r>
            <w:proofErr w:type="gramStart"/>
            <w:r w:rsidRPr="005473E2">
              <w:rPr>
                <w:rFonts w:cs="Times New Roman"/>
                <w:sz w:val="20"/>
                <w:szCs w:val="20"/>
              </w:rPr>
              <w:t>о крупным и средним организациям</w:t>
            </w:r>
            <w:proofErr w:type="gramEnd"/>
            <w:r w:rsidRPr="005473E2">
              <w:rPr>
                <w:rFonts w:cs="Times New Roman"/>
                <w:sz w:val="20"/>
                <w:szCs w:val="20"/>
              </w:rPr>
              <w:t xml:space="preserve"> (без организаций с численностью работающих менее 15 человек) - раздел B</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proofErr w:type="spellStart"/>
            <w:r w:rsidRPr="005473E2">
              <w:rPr>
                <w:rFonts w:cs="Times New Roman"/>
                <w:sz w:val="20"/>
                <w:szCs w:val="20"/>
              </w:rPr>
              <w:t>млн.руб.</w:t>
            </w:r>
            <w:proofErr w:type="gramStart"/>
            <w:r w:rsidRPr="005473E2">
              <w:rPr>
                <w:rFonts w:cs="Times New Roman"/>
                <w:sz w:val="20"/>
                <w:szCs w:val="20"/>
              </w:rPr>
              <w:t>в</w:t>
            </w:r>
            <w:proofErr w:type="spellEnd"/>
            <w:r w:rsidRPr="005473E2">
              <w:rPr>
                <w:rFonts w:cs="Times New Roman"/>
                <w:sz w:val="20"/>
                <w:szCs w:val="20"/>
              </w:rPr>
              <w:t xml:space="preserve"> ценах</w:t>
            </w:r>
            <w:proofErr w:type="gramEnd"/>
            <w:r w:rsidRPr="005473E2">
              <w:rPr>
                <w:rFonts w:cs="Times New Roman"/>
                <w:sz w:val="20"/>
                <w:szCs w:val="20"/>
              </w:rPr>
              <w:t xml:space="preserve"> соответствующих </w:t>
            </w:r>
            <w:proofErr w:type="spellStart"/>
            <w:r w:rsidRPr="005473E2">
              <w:rPr>
                <w:rFonts w:cs="Times New Roman"/>
                <w:sz w:val="20"/>
                <w:szCs w:val="20"/>
              </w:rPr>
              <w:t>летт</w:t>
            </w:r>
            <w:proofErr w:type="spellEnd"/>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 раздел B</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Обрабатывающие производства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150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Объем отгруженных товаров собственного производства, выполненных работ и услуг собственными силами </w:t>
            </w:r>
            <w:proofErr w:type="gramStart"/>
            <w:r w:rsidRPr="005473E2">
              <w:rPr>
                <w:rFonts w:cs="Times New Roman"/>
                <w:sz w:val="20"/>
                <w:szCs w:val="20"/>
              </w:rPr>
              <w:t>о крупным и средним организациям</w:t>
            </w:r>
            <w:proofErr w:type="gramEnd"/>
            <w:r w:rsidRPr="005473E2">
              <w:rPr>
                <w:rFonts w:cs="Times New Roman"/>
                <w:sz w:val="20"/>
                <w:szCs w:val="20"/>
              </w:rPr>
              <w:t xml:space="preserve"> (без организаций с численностью работающих менее 15 человек) - раздел C</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proofErr w:type="spellStart"/>
            <w:r w:rsidRPr="005473E2">
              <w:rPr>
                <w:rFonts w:cs="Times New Roman"/>
                <w:sz w:val="20"/>
                <w:szCs w:val="20"/>
              </w:rPr>
              <w:t>млн.руб.в</w:t>
            </w:r>
            <w:proofErr w:type="spellEnd"/>
            <w:r w:rsidRPr="005473E2">
              <w:rPr>
                <w:rFonts w:cs="Times New Roman"/>
                <w:sz w:val="20"/>
                <w:szCs w:val="20"/>
              </w:rPr>
              <w:t xml:space="preserve"> ценах соответствующих лет</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51 095,9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68 323,0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109 316,8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103 851,0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114 454,7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104 889,5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121 322,0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106 987,3</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129 935,8</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 раздел C</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133,7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160,0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106,0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107,1</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Обеспечение электрической энергией, газом и паром; кондиционирование воздуха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150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Объем отгруженных товаров собственного производства, выполненных работ и услуг собственными силами </w:t>
            </w:r>
            <w:proofErr w:type="gramStart"/>
            <w:r w:rsidRPr="005473E2">
              <w:rPr>
                <w:rFonts w:cs="Times New Roman"/>
                <w:sz w:val="20"/>
                <w:szCs w:val="20"/>
              </w:rPr>
              <w:t>о крупным и средним организациям</w:t>
            </w:r>
            <w:proofErr w:type="gramEnd"/>
            <w:r w:rsidRPr="005473E2">
              <w:rPr>
                <w:rFonts w:cs="Times New Roman"/>
                <w:sz w:val="20"/>
                <w:szCs w:val="20"/>
              </w:rPr>
              <w:t xml:space="preserve"> (без организаций с численностью работающих менее 15 человек) - раздел D</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proofErr w:type="spellStart"/>
            <w:r w:rsidRPr="005473E2">
              <w:rPr>
                <w:rFonts w:cs="Times New Roman"/>
                <w:sz w:val="20"/>
                <w:szCs w:val="20"/>
              </w:rPr>
              <w:t>млн.руб.в</w:t>
            </w:r>
            <w:proofErr w:type="spellEnd"/>
            <w:r w:rsidRPr="005473E2">
              <w:rPr>
                <w:rFonts w:cs="Times New Roman"/>
                <w:sz w:val="20"/>
                <w:szCs w:val="20"/>
              </w:rPr>
              <w:t xml:space="preserve"> ценах соответствующих лет</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3 161,2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3 006,9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2 950,0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3 040,0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3 103,4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3 158,6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3 267,9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3 297,5</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3 464,0</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 раздел D</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112,9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95,1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98,1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103,9</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104,4</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106,0</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lastRenderedPageBreak/>
              <w:t>Справочно</w:t>
            </w:r>
            <w:proofErr w:type="spellEnd"/>
            <w:r w:rsidRPr="005473E2">
              <w:rPr>
                <w:rFonts w:cs="Times New Roman"/>
                <w:sz w:val="20"/>
                <w:szCs w:val="20"/>
              </w:rPr>
              <w:t>: Водоснабжение; водоотведение, организация сбора и утилизации отходов, деятельность по ликвидации загрязнений</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150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Объем отгруженных товаров собственного производства, выполненных работ и услуг собственными силами </w:t>
            </w:r>
            <w:proofErr w:type="gramStart"/>
            <w:r w:rsidRPr="005473E2">
              <w:rPr>
                <w:rFonts w:cs="Times New Roman"/>
                <w:sz w:val="20"/>
                <w:szCs w:val="20"/>
              </w:rPr>
              <w:t>о крупным и средним организациям</w:t>
            </w:r>
            <w:proofErr w:type="gramEnd"/>
            <w:r w:rsidRPr="005473E2">
              <w:rPr>
                <w:rFonts w:cs="Times New Roman"/>
                <w:sz w:val="20"/>
                <w:szCs w:val="20"/>
              </w:rPr>
              <w:t xml:space="preserve"> (без организаций с численностью работающих менее 15 человек) - раздел E</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proofErr w:type="spellStart"/>
            <w:r w:rsidRPr="005473E2">
              <w:rPr>
                <w:rFonts w:cs="Times New Roman"/>
                <w:sz w:val="20"/>
                <w:szCs w:val="20"/>
              </w:rPr>
              <w:t>млн.руб.в</w:t>
            </w:r>
            <w:proofErr w:type="spellEnd"/>
            <w:r w:rsidRPr="005473E2">
              <w:rPr>
                <w:rFonts w:cs="Times New Roman"/>
                <w:sz w:val="20"/>
                <w:szCs w:val="20"/>
              </w:rPr>
              <w:t xml:space="preserve"> ценах соответствующих лет</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904,0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935,0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1 083,0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1 254,1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1 140,0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1 452,3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1 170,0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1 682,0</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 раздел E</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115,8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115,8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115,8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115,8</w:t>
            </w:r>
          </w:p>
        </w:tc>
      </w:tr>
      <w:tr w:rsidR="00CA1FF1" w:rsidRPr="005473E2" w:rsidTr="00F4265B">
        <w:trPr>
          <w:trHeight w:val="3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b/>
                <w:bCs/>
                <w:sz w:val="20"/>
                <w:szCs w:val="20"/>
              </w:rPr>
            </w:pPr>
            <w:r w:rsidRPr="005473E2">
              <w:rPr>
                <w:rFonts w:cs="Times New Roman"/>
                <w:b/>
                <w:bCs/>
                <w:sz w:val="20"/>
                <w:szCs w:val="20"/>
              </w:rPr>
              <w:t>7. Малое и среднее предпринимательство</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 xml:space="preserve">Число малых и средних предприятий, включая </w:t>
            </w:r>
            <w:proofErr w:type="spellStart"/>
            <w:r w:rsidRPr="005473E2">
              <w:rPr>
                <w:rFonts w:cs="Times New Roman"/>
                <w:sz w:val="20"/>
                <w:szCs w:val="20"/>
              </w:rPr>
              <w:t>микропредприятия</w:t>
            </w:r>
            <w:proofErr w:type="spellEnd"/>
            <w:r w:rsidRPr="005473E2">
              <w:rPr>
                <w:rFonts w:cs="Times New Roman"/>
                <w:sz w:val="20"/>
                <w:szCs w:val="20"/>
              </w:rPr>
              <w:t xml:space="preserve"> (на конец года)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единица</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1 891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1 881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1 866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1 856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1 864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1 858</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1 871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1 865</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1 882</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в том числе, малых предприятий (включая </w:t>
            </w:r>
            <w:proofErr w:type="spellStart"/>
            <w:r w:rsidRPr="005473E2">
              <w:rPr>
                <w:rFonts w:cs="Times New Roman"/>
                <w:sz w:val="20"/>
                <w:szCs w:val="20"/>
              </w:rPr>
              <w:t>микропредприятия</w:t>
            </w:r>
            <w:proofErr w:type="spellEnd"/>
            <w:r w:rsidRPr="005473E2">
              <w:rPr>
                <w:rFonts w:cs="Times New Roman"/>
                <w:sz w:val="20"/>
                <w:szCs w:val="20"/>
              </w:rPr>
              <w:t>)</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единица</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1 876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1 869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1 854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1 844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1 852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1 846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1 859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1 853</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1 870</w:t>
            </w:r>
          </w:p>
        </w:tc>
      </w:tr>
      <w:tr w:rsidR="00CA1FF1" w:rsidRPr="005473E2" w:rsidTr="00F4265B">
        <w:trPr>
          <w:trHeight w:val="3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b/>
                <w:bCs/>
                <w:sz w:val="20"/>
                <w:szCs w:val="20"/>
              </w:rPr>
            </w:pPr>
            <w:r w:rsidRPr="005473E2">
              <w:rPr>
                <w:rFonts w:cs="Times New Roman"/>
                <w:b/>
                <w:bCs/>
                <w:sz w:val="20"/>
                <w:szCs w:val="20"/>
              </w:rPr>
              <w:t>8. Инвестиции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Инвестиции в основной капитал за счет всех источников финансирования по полному кругу организаций</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proofErr w:type="spellStart"/>
            <w:r w:rsidRPr="005473E2">
              <w:rPr>
                <w:rFonts w:cs="Times New Roman"/>
                <w:sz w:val="20"/>
                <w:szCs w:val="20"/>
              </w:rPr>
              <w:t>млн.рублей</w:t>
            </w:r>
            <w:proofErr w:type="spellEnd"/>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10 662,99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14 557,75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8 000,00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7 000,00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7 600,00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6 000,00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8 200,00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6 000,00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8 500,00</w:t>
            </w:r>
          </w:p>
        </w:tc>
      </w:tr>
      <w:tr w:rsidR="00CA1FF1" w:rsidRPr="005473E2" w:rsidTr="00F4265B">
        <w:trPr>
          <w:trHeight w:val="129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proofErr w:type="spellStart"/>
            <w:r w:rsidRPr="005473E2">
              <w:rPr>
                <w:rFonts w:cs="Times New Roman"/>
                <w:sz w:val="20"/>
                <w:szCs w:val="20"/>
              </w:rPr>
              <w:t>млн.рублей</w:t>
            </w:r>
            <w:proofErr w:type="spellEnd"/>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9 952,79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14 423,65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3 000,00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5 000,00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5 100,00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5 000,00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5 200,00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5 000,00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5 300,00</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индекс физического объема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254,7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19,7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158,4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161,4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95,6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97,3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95,6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97,4</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индекс-дефлятор цен</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116,9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104,6</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lastRenderedPageBreak/>
              <w:t>Справочно</w:t>
            </w:r>
            <w:proofErr w:type="spellEnd"/>
            <w:r w:rsidRPr="005473E2">
              <w:rPr>
                <w:rFonts w:cs="Times New Roman"/>
                <w:sz w:val="20"/>
                <w:szCs w:val="20"/>
              </w:rPr>
              <w:t xml:space="preserve">: Инвестиции в основной капитал малых предприятий, </w:t>
            </w:r>
            <w:proofErr w:type="spellStart"/>
            <w:r w:rsidRPr="005473E2">
              <w:rPr>
                <w:rFonts w:cs="Times New Roman"/>
                <w:sz w:val="20"/>
                <w:szCs w:val="20"/>
              </w:rPr>
              <w:t>микропредприятий</w:t>
            </w:r>
            <w:proofErr w:type="spellEnd"/>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proofErr w:type="spellStart"/>
            <w:r w:rsidRPr="005473E2">
              <w:rPr>
                <w:rFonts w:cs="Times New Roman"/>
                <w:sz w:val="20"/>
                <w:szCs w:val="20"/>
              </w:rPr>
              <w:t>млн.рублей</w:t>
            </w:r>
            <w:proofErr w:type="spellEnd"/>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710,20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134,10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5 000,00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2 500,00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1 000,00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3 000,00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1 000,00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3 200,00</w:t>
            </w:r>
          </w:p>
        </w:tc>
      </w:tr>
      <w:tr w:rsidR="00CA1FF1" w:rsidRPr="005473E2" w:rsidTr="00F4265B">
        <w:trPr>
          <w:trHeight w:val="10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Инвестиции в основной капитал (без субъектов малого предпринимательства и параметров неформальной деятельности) из местных бюджетов</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млн. рублей</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219,86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393,11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250,00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200,00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350,00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300,00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450,00</w:t>
            </w:r>
          </w:p>
        </w:tc>
      </w:tr>
      <w:tr w:rsidR="00CA1FF1" w:rsidRPr="005473E2" w:rsidTr="00F4265B">
        <w:trPr>
          <w:trHeight w:val="3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b/>
                <w:bCs/>
                <w:sz w:val="20"/>
                <w:szCs w:val="20"/>
              </w:rPr>
            </w:pPr>
            <w:r w:rsidRPr="005473E2">
              <w:rPr>
                <w:rFonts w:cs="Times New Roman"/>
                <w:b/>
                <w:bCs/>
                <w:sz w:val="20"/>
                <w:szCs w:val="20"/>
              </w:rPr>
              <w:t>9. Строительство</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54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Объем жилищного строительства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тыс. кв. м общей площади</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3,85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38,81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12,90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20,28</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45,36</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в том числе:</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Ввод общей площади жилых домов, построенных населением</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тыс. кв. м общей площади</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3,85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5,65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6,20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6,70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18,20</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ввод жилья в многоквартирных жилых домах</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тыс. кв. м общей площади</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33,16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6,70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13,58</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27,16</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Уровень обеспеченности населения жильем (на конец года)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кв. м на человека</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23,28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23,91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24,25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24,58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24,63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24,94</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24,99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25,41</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25,62</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Жилищный фонд на конец года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тыс. кв. м</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3 601,6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3 639,1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3 644,5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3 648,6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3 657,4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3 653,7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3 663,8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3 674,0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3 709,2</w:t>
            </w:r>
          </w:p>
        </w:tc>
      </w:tr>
      <w:tr w:rsidR="00CA1FF1" w:rsidRPr="005473E2" w:rsidTr="00F4265B">
        <w:trPr>
          <w:trHeight w:val="3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b/>
                <w:bCs/>
                <w:sz w:val="20"/>
                <w:szCs w:val="20"/>
              </w:rPr>
            </w:pPr>
            <w:r w:rsidRPr="005473E2">
              <w:rPr>
                <w:rFonts w:cs="Times New Roman"/>
                <w:b/>
                <w:bCs/>
                <w:sz w:val="20"/>
                <w:szCs w:val="20"/>
              </w:rPr>
              <w:t>12. Труд и заработная плата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10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Количество созданных рабочих мест всего (на крупных и средних предприятиях, на малых предприятиях (включая </w:t>
            </w:r>
            <w:proofErr w:type="spellStart"/>
            <w:r w:rsidRPr="005473E2">
              <w:rPr>
                <w:rFonts w:cs="Times New Roman"/>
                <w:sz w:val="20"/>
                <w:szCs w:val="20"/>
              </w:rPr>
              <w:t>микропредприятия</w:t>
            </w:r>
            <w:proofErr w:type="spellEnd"/>
            <w:r w:rsidRPr="005473E2">
              <w:rPr>
                <w:rFonts w:cs="Times New Roman"/>
                <w:sz w:val="20"/>
                <w:szCs w:val="20"/>
              </w:rPr>
              <w:t>) и индивидуальные предприниматели)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единица</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913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2 764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794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432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395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536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580</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Количество созданных рабочих мест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единица</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1 553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471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180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200</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Количество созданных рабочих мест на малых предприятиях (включая </w:t>
            </w:r>
            <w:proofErr w:type="spellStart"/>
            <w:r w:rsidRPr="005473E2">
              <w:rPr>
                <w:rFonts w:cs="Times New Roman"/>
                <w:sz w:val="20"/>
                <w:szCs w:val="20"/>
              </w:rPr>
              <w:t>микропредприятия</w:t>
            </w:r>
            <w:proofErr w:type="spellEnd"/>
            <w:r w:rsidRPr="005473E2">
              <w:rPr>
                <w:rFonts w:cs="Times New Roman"/>
                <w:sz w:val="20"/>
                <w:szCs w:val="20"/>
              </w:rPr>
              <w:t>) и индивидуальные предприниматели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единица</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213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1 211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323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332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345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360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356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380</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Численность официально зарегистрированных безработных, на конец года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548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270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270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250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200</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lastRenderedPageBreak/>
              <w:t>Фонд начисленной заработной платы</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млн. рублей</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25 088,1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28 697,3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43 770,7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48 711,1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49 190,3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50 583,5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51 938,5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52 391,1</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54 862,7</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фонда заработной платы</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114,4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152,5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111,3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112,4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103,8</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105,6</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Фонд заработной платы по крупным и средним организациям (включая организации с численностью до 15 человек)</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млн. рублей</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19 894,6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22 887,4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37 612,2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42 276,1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42 724,3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43 823,5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45 116,9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45 290,1</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47 688,5</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фонда заработной платы по крупным и средним организациям (включая организации с численностью до 15 человек)</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164,3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112,4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113,6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103,3</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105,7</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Фонд заработной платы по малым предприятиям (включая </w:t>
            </w:r>
            <w:proofErr w:type="spellStart"/>
            <w:r w:rsidRPr="005473E2">
              <w:rPr>
                <w:rFonts w:cs="Times New Roman"/>
                <w:sz w:val="20"/>
                <w:szCs w:val="20"/>
              </w:rPr>
              <w:t>микропредприятия</w:t>
            </w:r>
            <w:proofErr w:type="spellEnd"/>
            <w:r w:rsidRPr="005473E2">
              <w:rPr>
                <w:rFonts w:cs="Times New Roman"/>
                <w:sz w:val="20"/>
                <w:szCs w:val="20"/>
              </w:rPr>
              <w:t>)</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млн. рублей</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5 193,5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5 809,9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6 158,5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6 435,0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6 466,0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6 760,0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6 821,6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7 101,0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7 174,2</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Темп роста фонда заработной платы по малым предприятиям (включая </w:t>
            </w:r>
            <w:proofErr w:type="spellStart"/>
            <w:r w:rsidRPr="005473E2">
              <w:rPr>
                <w:rFonts w:cs="Times New Roman"/>
                <w:sz w:val="20"/>
                <w:szCs w:val="20"/>
              </w:rPr>
              <w:t>микропредприятия</w:t>
            </w:r>
            <w:proofErr w:type="spellEnd"/>
            <w:r w:rsidRPr="005473E2">
              <w:rPr>
                <w:rFonts w:cs="Times New Roman"/>
                <w:sz w:val="20"/>
                <w:szCs w:val="20"/>
              </w:rPr>
              <w:t>)</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111,9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106,0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105,1</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105,2</w:t>
            </w:r>
          </w:p>
        </w:tc>
      </w:tr>
      <w:tr w:rsidR="00CA1FF1" w:rsidRPr="005473E2" w:rsidTr="00F4265B">
        <w:trPr>
          <w:trHeight w:val="126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Среднемесячная номинальная начисленная заработная плата работников (по полному кругу организаций) без учета численности работников, выполнявших работы по договорам гражданско-правового характера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рубль</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52 846,9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60 601,1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90 568,6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100 100,1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100 764,3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102 087,4</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103 419,5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105 068,8</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107 203,1</w:t>
            </w:r>
          </w:p>
        </w:tc>
      </w:tr>
      <w:tr w:rsidR="00CA1FF1" w:rsidRPr="005473E2" w:rsidTr="00F4265B">
        <w:trPr>
          <w:trHeight w:val="1230"/>
        </w:trPr>
        <w:tc>
          <w:tcPr>
            <w:tcW w:w="3964" w:type="dxa"/>
            <w:tcBorders>
              <w:top w:val="nil"/>
              <w:left w:val="single" w:sz="4" w:space="0" w:color="C0C0C0"/>
              <w:bottom w:val="nil"/>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среднемесячной номинальной начисленной заработной платы работников (по полному кругу организаций) без учета численности работников, выполнявших работы по договорам гражданско-правового характера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112,2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149,5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111,3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102,9</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103,7</w:t>
            </w:r>
          </w:p>
        </w:tc>
      </w:tr>
      <w:tr w:rsidR="00CA1FF1" w:rsidRPr="005473E2" w:rsidTr="00F4265B">
        <w:trPr>
          <w:trHeight w:val="1140"/>
        </w:trPr>
        <w:tc>
          <w:tcPr>
            <w:tcW w:w="396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Среднемесячная номинальная начисленная заработная плата работников (по полному кругу организаций) с учетом численности работников, выполнявших работы по договорам гражданско-правового характера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рубль</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52 430,7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58 718,8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64 247,0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68 974,0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69 265,3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70 618,5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71 480,4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72 701,2</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74 162,4</w:t>
            </w:r>
          </w:p>
        </w:tc>
      </w:tr>
      <w:tr w:rsidR="00CA1FF1" w:rsidRPr="005473E2" w:rsidTr="00F4265B">
        <w:trPr>
          <w:trHeight w:val="1275"/>
        </w:trPr>
        <w:tc>
          <w:tcPr>
            <w:tcW w:w="3964" w:type="dxa"/>
            <w:tcBorders>
              <w:top w:val="nil"/>
              <w:left w:val="single" w:sz="4" w:space="0" w:color="D9D9D9"/>
              <w:bottom w:val="single" w:sz="4" w:space="0" w:color="D9D9D9"/>
              <w:right w:val="single" w:sz="4" w:space="0" w:color="D9D9D9"/>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lastRenderedPageBreak/>
              <w:t>Справочно</w:t>
            </w:r>
            <w:proofErr w:type="spellEnd"/>
            <w:r w:rsidRPr="005473E2">
              <w:rPr>
                <w:rFonts w:cs="Times New Roman"/>
                <w:sz w:val="20"/>
                <w:szCs w:val="20"/>
              </w:rPr>
              <w:t>: темп роста среднемесячной номинальной начисленной заработной платы работников (по полному кругу организаций) с учетом численности работников, выполнявших работы по договорам гражданско-правового характера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112,0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109,4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107,4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107,8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102,4</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102,9</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103,8</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Реальная заработная плата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99,1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139,5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96,6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97,2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98,8</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99,5</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Индекс потребительских цен, в среднем за год</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107,47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115,69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107,10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106,40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106,80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105,60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105,60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104,20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104,20</w:t>
            </w:r>
          </w:p>
        </w:tc>
      </w:tr>
      <w:tr w:rsidR="00CA1FF1" w:rsidRPr="005473E2" w:rsidTr="00F4265B">
        <w:trPr>
          <w:trHeight w:val="121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Среднемесячная заработная плата работников по крупным и средним организациям (включая организации с численностью до 15 человек) без учета численности работников, выполнявших работы по договорам гражданско-правового характера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рублей</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58 345,4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67 749,5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108 560,2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121 190,5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122 076,4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122 887,1</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124 412,4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126 328,0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128 609,8</w:t>
            </w:r>
          </w:p>
        </w:tc>
      </w:tr>
      <w:tr w:rsidR="00CA1FF1" w:rsidRPr="005473E2" w:rsidTr="00F4265B">
        <w:trPr>
          <w:trHeight w:val="1200"/>
        </w:trPr>
        <w:tc>
          <w:tcPr>
            <w:tcW w:w="3964" w:type="dxa"/>
            <w:tcBorders>
              <w:top w:val="nil"/>
              <w:left w:val="single" w:sz="4" w:space="0" w:color="C0C0C0"/>
              <w:bottom w:val="single" w:sz="4" w:space="0" w:color="BFBFBF"/>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среднемесячной заработной платы работников по крупным и средним организациям (включая организации с численностью до 15 человек) без учета численности работников, выполнявших работы по договорам гражданско-правового характера</w:t>
            </w:r>
          </w:p>
        </w:tc>
        <w:tc>
          <w:tcPr>
            <w:tcW w:w="1559" w:type="dxa"/>
            <w:tcBorders>
              <w:top w:val="nil"/>
              <w:left w:val="nil"/>
              <w:bottom w:val="single" w:sz="4" w:space="0" w:color="BFBFBF"/>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109,5</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116,1</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160,2</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111,6</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112,5</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101,4</w:t>
            </w:r>
          </w:p>
        </w:tc>
        <w:tc>
          <w:tcPr>
            <w:tcW w:w="1275"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101,9</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102,8</w:t>
            </w:r>
          </w:p>
        </w:tc>
        <w:tc>
          <w:tcPr>
            <w:tcW w:w="1276"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103,4</w:t>
            </w:r>
          </w:p>
        </w:tc>
      </w:tr>
      <w:tr w:rsidR="00CA1FF1" w:rsidRPr="005473E2" w:rsidTr="00F4265B">
        <w:trPr>
          <w:trHeight w:val="127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Среднемесячная заработная плата работников по крупным и средним организациям (включая организации с численностью до 15 </w:t>
            </w:r>
            <w:proofErr w:type="gramStart"/>
            <w:r w:rsidRPr="005473E2">
              <w:rPr>
                <w:rFonts w:cs="Times New Roman"/>
                <w:sz w:val="20"/>
                <w:szCs w:val="20"/>
              </w:rPr>
              <w:t>человек)</w:t>
            </w:r>
            <w:r w:rsidRPr="005473E2">
              <w:rPr>
                <w:rFonts w:cs="Times New Roman"/>
                <w:sz w:val="20"/>
                <w:szCs w:val="20"/>
              </w:rPr>
              <w:br/>
              <w:t>с</w:t>
            </w:r>
            <w:proofErr w:type="gramEnd"/>
            <w:r w:rsidRPr="005473E2">
              <w:rPr>
                <w:rFonts w:cs="Times New Roman"/>
                <w:sz w:val="20"/>
                <w:szCs w:val="20"/>
              </w:rPr>
              <w:t xml:space="preserve"> учетом численности работников, выполнявших работы по договорам гражданско-правового характера</w:t>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рублей</w:t>
            </w:r>
          </w:p>
        </w:tc>
        <w:tc>
          <w:tcPr>
            <w:tcW w:w="993" w:type="dxa"/>
            <w:tcBorders>
              <w:top w:val="nil"/>
              <w:left w:val="single" w:sz="4" w:space="0" w:color="D9D9D9"/>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57 707,7</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64 836,1</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69 081,2</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74 372,1</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74 695,4</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75 895,9</w:t>
            </w:r>
          </w:p>
        </w:tc>
        <w:tc>
          <w:tcPr>
            <w:tcW w:w="1275"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76 854,9</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78 017,5</w:t>
            </w:r>
          </w:p>
        </w:tc>
        <w:tc>
          <w:tcPr>
            <w:tcW w:w="1276"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79 640,1</w:t>
            </w:r>
          </w:p>
        </w:tc>
      </w:tr>
      <w:tr w:rsidR="00CA1FF1" w:rsidRPr="005473E2" w:rsidTr="00F4265B">
        <w:trPr>
          <w:trHeight w:val="124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среднемесячной заработной платы работников по крупным и средним организациям (включая организации с численностью до 15 человек) с учетом численности работников, выполнявших работы по договорам гражданско-правового характера</w:t>
            </w:r>
          </w:p>
        </w:tc>
        <w:tc>
          <w:tcPr>
            <w:tcW w:w="1559" w:type="dxa"/>
            <w:tcBorders>
              <w:top w:val="nil"/>
              <w:left w:val="single" w:sz="4" w:space="0" w:color="C0C0C0"/>
              <w:bottom w:val="single" w:sz="4" w:space="0" w:color="BFBFBF"/>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112,4</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106,5</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107,7</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108,1</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102,0</w:t>
            </w:r>
          </w:p>
        </w:tc>
        <w:tc>
          <w:tcPr>
            <w:tcW w:w="1275"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102,9</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102,8</w:t>
            </w:r>
          </w:p>
        </w:tc>
        <w:tc>
          <w:tcPr>
            <w:tcW w:w="1276"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103,6</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lastRenderedPageBreak/>
              <w:t>Справочно</w:t>
            </w:r>
            <w:proofErr w:type="spellEnd"/>
            <w:r w:rsidRPr="005473E2">
              <w:rPr>
                <w:rFonts w:cs="Times New Roman"/>
                <w:sz w:val="20"/>
                <w:szCs w:val="20"/>
              </w:rPr>
              <w:t xml:space="preserve">: Среднемесячная заработная плата работников малых предприятий (включая </w:t>
            </w:r>
            <w:proofErr w:type="spellStart"/>
            <w:r w:rsidRPr="005473E2">
              <w:rPr>
                <w:rFonts w:cs="Times New Roman"/>
                <w:sz w:val="20"/>
                <w:szCs w:val="20"/>
              </w:rPr>
              <w:t>микропредприятия</w:t>
            </w:r>
            <w:proofErr w:type="spellEnd"/>
            <w:r w:rsidRPr="005473E2">
              <w:rPr>
                <w:rFonts w:cs="Times New Roman"/>
                <w:sz w:val="20"/>
                <w:szCs w:val="20"/>
              </w:rPr>
              <w:t>)</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рубль</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38 829,3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42 808,0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45 010,4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46 703,5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46 790,0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48 676,5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48 875,3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50 676,5</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50 893,8</w:t>
            </w:r>
          </w:p>
        </w:tc>
      </w:tr>
      <w:tr w:rsidR="00CA1FF1" w:rsidRPr="005473E2" w:rsidTr="00F4265B">
        <w:trPr>
          <w:trHeight w:val="855"/>
        </w:trPr>
        <w:tc>
          <w:tcPr>
            <w:tcW w:w="3964" w:type="dxa"/>
            <w:tcBorders>
              <w:top w:val="nil"/>
              <w:left w:val="single" w:sz="4" w:space="0" w:color="C0C0C0"/>
              <w:bottom w:val="nil"/>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Темп роста среднемесячной заработной платы работников малых предприятий (включая </w:t>
            </w:r>
            <w:proofErr w:type="spellStart"/>
            <w:r w:rsidRPr="005473E2">
              <w:rPr>
                <w:rFonts w:cs="Times New Roman"/>
                <w:sz w:val="20"/>
                <w:szCs w:val="20"/>
              </w:rPr>
              <w:t>микропредприятия</w:t>
            </w:r>
            <w:proofErr w:type="spellEnd"/>
            <w:r w:rsidRPr="005473E2">
              <w:rPr>
                <w:rFonts w:cs="Times New Roman"/>
                <w:sz w:val="20"/>
                <w:szCs w:val="20"/>
              </w:rPr>
              <w:t>)</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119,3</w:t>
            </w:r>
          </w:p>
        </w:tc>
        <w:tc>
          <w:tcPr>
            <w:tcW w:w="1134" w:type="dxa"/>
            <w:tcBorders>
              <w:top w:val="nil"/>
              <w:left w:val="nil"/>
              <w:bottom w:val="nil"/>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110,2</w:t>
            </w:r>
          </w:p>
        </w:tc>
        <w:tc>
          <w:tcPr>
            <w:tcW w:w="1134" w:type="dxa"/>
            <w:tcBorders>
              <w:top w:val="nil"/>
              <w:left w:val="nil"/>
              <w:bottom w:val="nil"/>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105,1</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103,8</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104,0</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104,2</w:t>
            </w:r>
          </w:p>
        </w:tc>
        <w:tc>
          <w:tcPr>
            <w:tcW w:w="1275"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104,5</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104,1</w:t>
            </w:r>
          </w:p>
        </w:tc>
        <w:tc>
          <w:tcPr>
            <w:tcW w:w="1276"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104,1</w:t>
            </w:r>
          </w:p>
        </w:tc>
      </w:tr>
      <w:tr w:rsidR="00CA1FF1" w:rsidRPr="005473E2" w:rsidTr="00F4265B">
        <w:trPr>
          <w:trHeight w:val="1140"/>
        </w:trPr>
        <w:tc>
          <w:tcPr>
            <w:tcW w:w="396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Среднесписочная численность работников (без внешних совместителей) по полному кругу организаций с учетом численности работников, выполнявших работы по договорам гражданско-правового характера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39 875</w:t>
            </w:r>
          </w:p>
        </w:tc>
        <w:tc>
          <w:tcPr>
            <w:tcW w:w="1134" w:type="dxa"/>
            <w:tcBorders>
              <w:top w:val="single" w:sz="4" w:space="0" w:color="BFBFBF"/>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40 727</w:t>
            </w:r>
          </w:p>
        </w:tc>
        <w:tc>
          <w:tcPr>
            <w:tcW w:w="1134" w:type="dxa"/>
            <w:tcBorders>
              <w:top w:val="single" w:sz="4" w:space="0" w:color="BFBFBF"/>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56 774</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58 852</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59 181</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59 691</w:t>
            </w:r>
          </w:p>
        </w:tc>
        <w:tc>
          <w:tcPr>
            <w:tcW w:w="1275"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60 551</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60 053</w:t>
            </w:r>
          </w:p>
        </w:tc>
        <w:tc>
          <w:tcPr>
            <w:tcW w:w="1276"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61 647</w:t>
            </w:r>
          </w:p>
        </w:tc>
      </w:tr>
      <w:tr w:rsidR="00CA1FF1" w:rsidRPr="005473E2" w:rsidTr="00F4265B">
        <w:trPr>
          <w:trHeight w:val="1230"/>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среднесписочной численности работников (без внешних совместителей) по полному кругу организаций с учетом численности работников, выполнявших работы по договорам гражданско-правового характера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102,1</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139,4</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103,7</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104,2</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101,4</w:t>
            </w:r>
          </w:p>
        </w:tc>
        <w:tc>
          <w:tcPr>
            <w:tcW w:w="1275"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102,3</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100,6</w:t>
            </w:r>
          </w:p>
        </w:tc>
        <w:tc>
          <w:tcPr>
            <w:tcW w:w="1276"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101,8</w:t>
            </w:r>
          </w:p>
        </w:tc>
      </w:tr>
      <w:tr w:rsidR="00CA1FF1" w:rsidRPr="005473E2" w:rsidTr="00F4265B">
        <w:trPr>
          <w:trHeight w:val="11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Среднесписочная численность работников организаций по крупным и средним организациям (включая организации с численностью до 15 человек) без учета численности работников, выполнявших работы по договорам гражданско-правового характера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28 415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28 152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28 872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29 070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29 165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29 718</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30 220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29 876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30 900</w:t>
            </w:r>
          </w:p>
        </w:tc>
      </w:tr>
      <w:tr w:rsidR="00CA1FF1" w:rsidRPr="005473E2" w:rsidTr="00F4265B">
        <w:trPr>
          <w:trHeight w:val="1470"/>
        </w:trPr>
        <w:tc>
          <w:tcPr>
            <w:tcW w:w="3964" w:type="dxa"/>
            <w:tcBorders>
              <w:top w:val="nil"/>
              <w:left w:val="single" w:sz="4" w:space="0" w:color="C0C0C0"/>
              <w:bottom w:val="single" w:sz="4" w:space="0" w:color="BFBFBF"/>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Темп роста среднесписочной численности работников организаций по крупным и средним организациям (включая организации с численностью до 15 человек) без учета численности работников, выполнявших работы по договорам гражданско-правового характера</w:t>
            </w:r>
          </w:p>
        </w:tc>
        <w:tc>
          <w:tcPr>
            <w:tcW w:w="1559" w:type="dxa"/>
            <w:tcBorders>
              <w:top w:val="nil"/>
              <w:left w:val="nil"/>
              <w:bottom w:val="single" w:sz="4" w:space="0" w:color="BFBFBF"/>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94,2</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99,1</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102,6</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100,7</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101,0</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102,2</w:t>
            </w:r>
          </w:p>
        </w:tc>
        <w:tc>
          <w:tcPr>
            <w:tcW w:w="1275"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103,6</w:t>
            </w:r>
          </w:p>
        </w:tc>
        <w:tc>
          <w:tcPr>
            <w:tcW w:w="1134"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100,5</w:t>
            </w:r>
          </w:p>
        </w:tc>
        <w:tc>
          <w:tcPr>
            <w:tcW w:w="1276" w:type="dxa"/>
            <w:tcBorders>
              <w:top w:val="nil"/>
              <w:left w:val="nil"/>
              <w:bottom w:val="single" w:sz="4" w:space="0" w:color="BFBFBF"/>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102,3</w:t>
            </w:r>
          </w:p>
        </w:tc>
      </w:tr>
      <w:tr w:rsidR="00CA1FF1" w:rsidRPr="005473E2" w:rsidTr="00F4265B">
        <w:trPr>
          <w:trHeight w:val="85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Среднесписочная численность работников, работающих по договорам ГПХ (по крупным и средним организациям)</w:t>
            </w:r>
          </w:p>
        </w:tc>
        <w:tc>
          <w:tcPr>
            <w:tcW w:w="1559" w:type="dxa"/>
            <w:tcBorders>
              <w:top w:val="nil"/>
              <w:left w:val="nil"/>
              <w:bottom w:val="single" w:sz="4" w:space="0" w:color="BFBFBF"/>
              <w:right w:val="single" w:sz="4" w:space="0" w:color="auto"/>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314</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1 265</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16 500</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18 300</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18 500</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18 400</w:t>
            </w:r>
          </w:p>
        </w:tc>
        <w:tc>
          <w:tcPr>
            <w:tcW w:w="1275"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18 700</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18 500</w:t>
            </w:r>
          </w:p>
        </w:tc>
        <w:tc>
          <w:tcPr>
            <w:tcW w:w="1276" w:type="dxa"/>
            <w:tcBorders>
              <w:top w:val="nil"/>
              <w:left w:val="nil"/>
              <w:bottom w:val="single" w:sz="4" w:space="0" w:color="BFBFBF"/>
              <w:right w:val="nil"/>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19 000</w:t>
            </w:r>
          </w:p>
        </w:tc>
      </w:tr>
      <w:tr w:rsidR="00CA1FF1" w:rsidRPr="005473E2" w:rsidTr="00F4265B">
        <w:trPr>
          <w:trHeight w:val="85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lastRenderedPageBreak/>
              <w:t>Темп роста среднесписочной численности работников, работающих по договорам ГПХ (по крупным и средним организациям)</w:t>
            </w:r>
          </w:p>
        </w:tc>
        <w:tc>
          <w:tcPr>
            <w:tcW w:w="1559" w:type="dxa"/>
            <w:tcBorders>
              <w:top w:val="nil"/>
              <w:left w:val="nil"/>
              <w:bottom w:val="nil"/>
              <w:right w:val="single" w:sz="4" w:space="0" w:color="auto"/>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402,9</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1 304,3</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110,9</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112,1</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100,5</w:t>
            </w:r>
          </w:p>
        </w:tc>
        <w:tc>
          <w:tcPr>
            <w:tcW w:w="1275"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101,1</w:t>
            </w:r>
          </w:p>
        </w:tc>
        <w:tc>
          <w:tcPr>
            <w:tcW w:w="1134" w:type="dxa"/>
            <w:tcBorders>
              <w:top w:val="nil"/>
              <w:left w:val="nil"/>
              <w:bottom w:val="single" w:sz="4" w:space="0" w:color="BFBFBF"/>
              <w:right w:val="single" w:sz="4" w:space="0" w:color="BFBFBF"/>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100,5</w:t>
            </w:r>
          </w:p>
        </w:tc>
        <w:tc>
          <w:tcPr>
            <w:tcW w:w="1276" w:type="dxa"/>
            <w:tcBorders>
              <w:top w:val="nil"/>
              <w:left w:val="nil"/>
              <w:bottom w:val="single" w:sz="4" w:space="0" w:color="BFBFBF"/>
              <w:right w:val="nil"/>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101,6</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Среднесписочная численность работников малых предприятий (включая </w:t>
            </w:r>
            <w:proofErr w:type="spellStart"/>
            <w:r w:rsidRPr="005473E2">
              <w:rPr>
                <w:rFonts w:cs="Times New Roman"/>
                <w:sz w:val="20"/>
                <w:szCs w:val="20"/>
              </w:rPr>
              <w:t>микропредприятия</w:t>
            </w:r>
            <w:proofErr w:type="spellEnd"/>
            <w:r w:rsidRPr="005473E2">
              <w:rPr>
                <w:rFonts w:cs="Times New Roman"/>
                <w:sz w:val="20"/>
                <w:szCs w:val="20"/>
              </w:rPr>
              <w:t>)</w:t>
            </w:r>
          </w:p>
        </w:tc>
        <w:tc>
          <w:tcPr>
            <w:tcW w:w="1559" w:type="dxa"/>
            <w:tcBorders>
              <w:top w:val="single" w:sz="4" w:space="0" w:color="BFBFBF"/>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11 146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11 310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11 402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11 482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11 516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11 573</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11 631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11 677</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11 747</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xml:space="preserve">: Темп роста среднесписочной численности работников малых предприятий (включая </w:t>
            </w:r>
            <w:proofErr w:type="spellStart"/>
            <w:r w:rsidRPr="005473E2">
              <w:rPr>
                <w:rFonts w:cs="Times New Roman"/>
                <w:sz w:val="20"/>
                <w:szCs w:val="20"/>
              </w:rPr>
              <w:t>микропредприятия</w:t>
            </w:r>
            <w:proofErr w:type="spellEnd"/>
            <w:r w:rsidRPr="005473E2">
              <w:rPr>
                <w:rFonts w:cs="Times New Roman"/>
                <w:sz w:val="20"/>
                <w:szCs w:val="20"/>
              </w:rPr>
              <w:t>)</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100,8</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100,9</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101,0</w:t>
            </w:r>
          </w:p>
        </w:tc>
      </w:tr>
      <w:tr w:rsidR="00CA1FF1" w:rsidRPr="005473E2" w:rsidTr="00F4265B">
        <w:trPr>
          <w:trHeight w:val="150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Среднемесячная заработная плата отдельных категорий работников социальной сферы и науки и отношение средней заработной платы отдельных категорий работников социальной сферы и науки к среднемесячному доходу от трудовой деятельности по Московской области: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10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Среднемесячная номинальная начисленная заработная плата работников (по полному кругу организаций) по Московской области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рубль</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64 041,0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70 704,6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80 236,1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86 655,0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87 377,1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93 067,5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94 367,3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99 582,2</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101 727,9</w:t>
            </w:r>
          </w:p>
        </w:tc>
      </w:tr>
      <w:tr w:rsidR="00CA1FF1" w:rsidRPr="005473E2" w:rsidTr="00F4265B">
        <w:trPr>
          <w:trHeight w:val="150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Среднемесячная начисленная заработная плата наёмных работников в организациях, у индивидуальных предпринимателей и физических лиц (среднемесячный доход от трудовой деятельности)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рубль</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51 548,0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55 676,0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62 357,1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66 204,4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66 756,1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69 893,7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70 869,8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73 491,7</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75 075,2</w:t>
            </w:r>
          </w:p>
        </w:tc>
      </w:tr>
      <w:tr w:rsidR="00CA1FF1" w:rsidRPr="005473E2" w:rsidTr="00F4265B">
        <w:trPr>
          <w:trHeight w:val="10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Среднемесячная номинальная начисленная заработная плата работников в общеобразовательных организациях в Московской области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рубль</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55 238,0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60 943,7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63 738,9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68 073,2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68 073,2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68 073,2</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68 073,2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68 073,2</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68 073,2</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Среднемесячная номинальная начисленная заработная плата учителей в Московской области</w:t>
            </w:r>
          </w:p>
          <w:p w:rsidR="00AC3060" w:rsidRPr="005473E2" w:rsidRDefault="00AC3060" w:rsidP="00CA1FF1">
            <w:pPr>
              <w:rPr>
                <w:rFonts w:cs="Times New Roman"/>
                <w:sz w:val="20"/>
                <w:szCs w:val="20"/>
              </w:rPr>
            </w:pPr>
          </w:p>
          <w:p w:rsidR="00AC3060" w:rsidRPr="005473E2" w:rsidRDefault="00AC3060" w:rsidP="00CA1FF1">
            <w:pPr>
              <w:rPr>
                <w:rFonts w:cs="Times New Roman"/>
                <w:sz w:val="20"/>
                <w:szCs w:val="20"/>
              </w:rPr>
            </w:pP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рубль</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60 104,0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68 256,4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72 454,6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77 381,6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77 381,6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77 381,6</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77 381,6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77 381,6</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77 381,6</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lastRenderedPageBreak/>
              <w:t>Справочно</w:t>
            </w:r>
            <w:proofErr w:type="spellEnd"/>
            <w:r w:rsidRPr="005473E2">
              <w:rPr>
                <w:rFonts w:cs="Times New Roman"/>
                <w:sz w:val="20"/>
                <w:szCs w:val="20"/>
              </w:rPr>
              <w:t>: Образование</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Среднемесячная номинальная начисленная заработная плата: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педагогических работников общеобразовательных организаций</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рубль</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56 925,9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63 959,0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67 924,4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72 143,3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72 882,9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72 340,0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73 556,4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73 491,7</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75 075,2</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педагогических работников дошкольных образовательных организаций</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рубль</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55 344,3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59 931,7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63 738,9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68 073,2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68 413,6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68 073,2</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68 413,5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68 073,2</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AC3060">
            <w:pPr>
              <w:jc w:val="center"/>
              <w:rPr>
                <w:rFonts w:cs="Times New Roman"/>
                <w:sz w:val="20"/>
                <w:szCs w:val="20"/>
              </w:rPr>
            </w:pPr>
            <w:r w:rsidRPr="005473E2">
              <w:rPr>
                <w:rFonts w:cs="Times New Roman"/>
                <w:sz w:val="20"/>
                <w:szCs w:val="20"/>
              </w:rPr>
              <w:t>66</w:t>
            </w:r>
            <w:r w:rsidR="00AC3060" w:rsidRPr="005473E2">
              <w:rPr>
                <w:rFonts w:cs="Times New Roman"/>
                <w:sz w:val="20"/>
                <w:szCs w:val="20"/>
              </w:rPr>
              <w:t> 413,5</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педагогических работников организаций дополнительного образования детей</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рубль</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63 728,7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68 603,3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73 679,9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78 690,1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79 083,6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78 690,1</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79 083,6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78 690,1</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79 083,6</w:t>
            </w:r>
          </w:p>
        </w:tc>
      </w:tr>
      <w:tr w:rsidR="00CA1FF1" w:rsidRPr="005473E2" w:rsidTr="00F4265B">
        <w:trPr>
          <w:trHeight w:val="129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Отношение средней заработной платы педагогических работников общеобразовательных организаций к среднемесячному доходу от трудовой деятельности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110,4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114,9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108,9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109,0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109,2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103,4</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AC3060" w:rsidP="00CA1FF1">
            <w:pPr>
              <w:jc w:val="center"/>
              <w:rPr>
                <w:rFonts w:cs="Times New Roman"/>
                <w:sz w:val="20"/>
                <w:szCs w:val="20"/>
              </w:rPr>
            </w:pPr>
            <w:r w:rsidRPr="005473E2">
              <w:rPr>
                <w:rFonts w:cs="Times New Roman"/>
                <w:sz w:val="20"/>
                <w:szCs w:val="20"/>
              </w:rPr>
              <w:t>103,8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r>
      <w:tr w:rsidR="00CA1FF1" w:rsidRPr="005473E2" w:rsidTr="00F4265B">
        <w:trPr>
          <w:trHeight w:val="150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Отношение среднемесячной заработной платы педагогических работников дошкольных образовательных организаций к среднемесячной заработной плате в общеобразовательных организациях в Московской области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98,3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100,5</w:t>
            </w:r>
          </w:p>
        </w:tc>
      </w:tr>
      <w:tr w:rsidR="00CA1FF1" w:rsidRPr="005473E2" w:rsidTr="00F4265B">
        <w:trPr>
          <w:trHeight w:val="129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Отношение среднемесячной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106,0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100,2</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101,1</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Культура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Среднемесячная номинальная начисленная заработная плата работников муниципальных учреждений культуры - всего</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рубль</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50 390,9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55 071,6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62 357,1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66 204,4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66 756,1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69 893,7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70 869,8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73 491,7</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75 075,2</w:t>
            </w:r>
          </w:p>
        </w:tc>
      </w:tr>
      <w:tr w:rsidR="00CA1FF1" w:rsidRPr="005473E2" w:rsidTr="00F4265B">
        <w:trPr>
          <w:trHeight w:val="10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lastRenderedPageBreak/>
              <w:t>Справочно</w:t>
            </w:r>
            <w:proofErr w:type="spellEnd"/>
            <w:r w:rsidRPr="005473E2">
              <w:rPr>
                <w:rFonts w:cs="Times New Roman"/>
                <w:sz w:val="20"/>
                <w:szCs w:val="20"/>
              </w:rPr>
              <w:t>: Отношение средней заработной платы работников учреждений культуры к среднемесячному доходу от трудовой деятельности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97,8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98,9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r>
      <w:tr w:rsidR="00CA1FF1" w:rsidRPr="005473E2" w:rsidTr="00F4265B">
        <w:trPr>
          <w:trHeight w:val="3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b/>
                <w:bCs/>
                <w:sz w:val="20"/>
                <w:szCs w:val="20"/>
              </w:rPr>
            </w:pPr>
            <w:r w:rsidRPr="005473E2">
              <w:rPr>
                <w:rFonts w:cs="Times New Roman"/>
                <w:b/>
                <w:bCs/>
                <w:sz w:val="20"/>
                <w:szCs w:val="20"/>
              </w:rPr>
              <w:t>14. Торговля и услуги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Площадь торговых объектов предприятий розничной торговли (на конец года)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тыс. кв. м</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283,7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289,9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294,7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297,5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297,7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297,7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299,5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299,8</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301,7</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Обеспеченность населения площадью торговых объектов</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proofErr w:type="spellStart"/>
            <w:r w:rsidRPr="005473E2">
              <w:rPr>
                <w:rFonts w:cs="Times New Roman"/>
                <w:sz w:val="20"/>
                <w:szCs w:val="20"/>
              </w:rPr>
              <w:t>кв.метров</w:t>
            </w:r>
            <w:proofErr w:type="spellEnd"/>
            <w:r w:rsidRPr="005473E2">
              <w:rPr>
                <w:rFonts w:cs="Times New Roman"/>
                <w:sz w:val="20"/>
                <w:szCs w:val="20"/>
              </w:rPr>
              <w:t xml:space="preserve"> на 1000 чел.</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1 812,6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1 889,3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1 948,5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1 991,7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1 992,8</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2 018,7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2 030,1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2 059,8</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2 071,1</w:t>
            </w:r>
          </w:p>
        </w:tc>
      </w:tr>
      <w:tr w:rsidR="00CA1FF1" w:rsidRPr="005473E2" w:rsidTr="00F4265B">
        <w:trPr>
          <w:trHeight w:val="150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Площадь объектов оптовой торговли (складские помещения, оптово-распределительные центры, оптово-логистические центры, торгово-складские комплексы, логистические комплексы, стационарные оптовые рынки, распределительные холодильники и др.)</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тыс. кв. м</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51,2</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51,2</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51,2</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Оборот розничной торговли по крупным и средним организациям (без организаций с численностью работающих менее 15 человек):</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в ценах соответствующих лет</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млн. рублей</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28 770,2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29 824,2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31 387,6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32 988,4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33 279,5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34 614,5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35 127,0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36 644,5</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37 370,2</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индекс физического объема</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96,5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88,7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100,7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101,5</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102,0</w:t>
            </w:r>
          </w:p>
        </w:tc>
      </w:tr>
      <w:tr w:rsidR="00CA1FF1" w:rsidRPr="005473E2" w:rsidTr="00F4265B">
        <w:trPr>
          <w:trHeight w:val="7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индекс-дефлятор цен</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 к предыдущему году</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109,3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116,9</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105,1</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105,5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104,2</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104,3</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104,3</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104,3</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Количество стационарных объектов розничной торговли</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единиц</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1 156</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1 217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1 245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1 265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1 275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1 285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1 295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1 305</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1 326</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в том числе:</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Количество стационарных объектов розничной торговли по продаже продовольственных товаров</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единица</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490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515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520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525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540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545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560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565</w:t>
            </w:r>
          </w:p>
        </w:tc>
      </w:tr>
      <w:tr w:rsidR="00CA1FF1" w:rsidRPr="005473E2" w:rsidTr="00F4265B">
        <w:trPr>
          <w:trHeight w:val="3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b/>
                <w:bCs/>
                <w:sz w:val="20"/>
                <w:szCs w:val="20"/>
              </w:rPr>
            </w:pPr>
            <w:r w:rsidRPr="005473E2">
              <w:rPr>
                <w:rFonts w:cs="Times New Roman"/>
                <w:b/>
                <w:bCs/>
                <w:sz w:val="20"/>
                <w:szCs w:val="20"/>
              </w:rPr>
              <w:t>17. Образование</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lastRenderedPageBreak/>
              <w:t>Дошкольное образование:</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Число мест в дошкольных муниципальных образовательных организациях</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единица</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7 257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7 257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7 257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7 257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7 257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7 257</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7 257</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7 257</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7 257</w:t>
            </w:r>
          </w:p>
        </w:tc>
      </w:tr>
      <w:tr w:rsidR="00CA1FF1" w:rsidRPr="005473E2" w:rsidTr="00F4265B">
        <w:trPr>
          <w:trHeight w:val="42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Общее образование:</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 </w:t>
            </w:r>
          </w:p>
        </w:tc>
      </w:tr>
      <w:tr w:rsidR="00CA1FF1" w:rsidRPr="005473E2" w:rsidTr="00F4265B">
        <w:trPr>
          <w:trHeight w:val="630"/>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Число мест в муниципальных общеобразовательных организациях</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единица</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17 205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17 205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17 205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17 205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17 205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17 205</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17 205</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17 205</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17 205</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r w:rsidRPr="005473E2">
              <w:rPr>
                <w:rFonts w:cs="Times New Roman"/>
                <w:sz w:val="20"/>
                <w:szCs w:val="20"/>
              </w:rPr>
              <w:t>Доля обучающихся в государственных (муниципальных) общеобразовательных организациях, занимающихся во вторую смену</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процент</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r>
      <w:tr w:rsidR="00CA1FF1" w:rsidRPr="005473E2" w:rsidTr="00F4265B">
        <w:trPr>
          <w:trHeight w:val="106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Численность обучающихся в государственных (муниципальных) общеобразовательных организациях, занимающихся во вторую смену</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w:t>
            </w:r>
          </w:p>
        </w:tc>
      </w:tr>
      <w:tr w:rsidR="00CA1FF1" w:rsidRPr="005473E2" w:rsidTr="00F4265B">
        <w:trPr>
          <w:trHeight w:val="855"/>
        </w:trPr>
        <w:tc>
          <w:tcPr>
            <w:tcW w:w="3964" w:type="dxa"/>
            <w:tcBorders>
              <w:top w:val="nil"/>
              <w:left w:val="single" w:sz="4" w:space="0" w:color="C0C0C0"/>
              <w:bottom w:val="single" w:sz="4" w:space="0" w:color="C0C0C0"/>
              <w:right w:val="single" w:sz="4" w:space="0" w:color="C0C0C0"/>
            </w:tcBorders>
            <w:shd w:val="clear" w:color="auto" w:fill="auto"/>
            <w:vAlign w:val="center"/>
            <w:hideMark/>
          </w:tcPr>
          <w:p w:rsidR="00CA1FF1" w:rsidRPr="005473E2" w:rsidRDefault="00CA1FF1" w:rsidP="00CA1FF1">
            <w:pPr>
              <w:rPr>
                <w:rFonts w:cs="Times New Roman"/>
                <w:sz w:val="20"/>
                <w:szCs w:val="20"/>
              </w:rPr>
            </w:pPr>
            <w:proofErr w:type="spellStart"/>
            <w:r w:rsidRPr="005473E2">
              <w:rPr>
                <w:rFonts w:cs="Times New Roman"/>
                <w:sz w:val="20"/>
                <w:szCs w:val="20"/>
              </w:rPr>
              <w:t>Справочно</w:t>
            </w:r>
            <w:proofErr w:type="spellEnd"/>
            <w:r w:rsidRPr="005473E2">
              <w:rPr>
                <w:rFonts w:cs="Times New Roman"/>
                <w:sz w:val="20"/>
                <w:szCs w:val="20"/>
              </w:rPr>
              <w:t>: Общее число обучающихся в государственных (муниципальных) общеобразовательных организациях</w:t>
            </w:r>
          </w:p>
        </w:tc>
        <w:tc>
          <w:tcPr>
            <w:tcW w:w="1559" w:type="dxa"/>
            <w:tcBorders>
              <w:top w:val="nil"/>
              <w:left w:val="nil"/>
              <w:bottom w:val="single" w:sz="4" w:space="0" w:color="C0C0C0"/>
              <w:right w:val="single" w:sz="4" w:space="0" w:color="C0C0C0"/>
            </w:tcBorders>
            <w:shd w:val="clear" w:color="auto" w:fill="auto"/>
            <w:vAlign w:val="center"/>
            <w:hideMark/>
          </w:tcPr>
          <w:p w:rsidR="00CA1FF1" w:rsidRPr="005473E2" w:rsidRDefault="00CA1FF1" w:rsidP="00CA1FF1">
            <w:pPr>
              <w:jc w:val="center"/>
              <w:rPr>
                <w:rFonts w:cs="Times New Roman"/>
                <w:sz w:val="20"/>
                <w:szCs w:val="20"/>
              </w:rPr>
            </w:pPr>
            <w:r w:rsidRPr="005473E2">
              <w:rPr>
                <w:rFonts w:cs="Times New Roman"/>
                <w:sz w:val="20"/>
                <w:szCs w:val="20"/>
              </w:rPr>
              <w:t>человек</w:t>
            </w:r>
          </w:p>
        </w:tc>
        <w:tc>
          <w:tcPr>
            <w:tcW w:w="993"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22 772</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23 700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23 654</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23 620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23 670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23 580</w:t>
            </w:r>
          </w:p>
        </w:tc>
        <w:tc>
          <w:tcPr>
            <w:tcW w:w="1275"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23 650</w:t>
            </w:r>
          </w:p>
        </w:tc>
        <w:tc>
          <w:tcPr>
            <w:tcW w:w="1134"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23 550</w:t>
            </w:r>
          </w:p>
        </w:tc>
        <w:tc>
          <w:tcPr>
            <w:tcW w:w="1276" w:type="dxa"/>
            <w:tcBorders>
              <w:top w:val="nil"/>
              <w:left w:val="nil"/>
              <w:bottom w:val="single" w:sz="4" w:space="0" w:color="C0C0C0"/>
              <w:right w:val="single" w:sz="4" w:space="0" w:color="C0C0C0"/>
            </w:tcBorders>
            <w:shd w:val="clear" w:color="auto" w:fill="auto"/>
            <w:noWrap/>
            <w:vAlign w:val="center"/>
            <w:hideMark/>
          </w:tcPr>
          <w:p w:rsidR="00CA1FF1" w:rsidRPr="005473E2" w:rsidRDefault="00CA1FF1" w:rsidP="00CA1FF1">
            <w:pPr>
              <w:jc w:val="center"/>
              <w:rPr>
                <w:rFonts w:cs="Times New Roman"/>
                <w:sz w:val="20"/>
                <w:szCs w:val="20"/>
              </w:rPr>
            </w:pPr>
            <w:r w:rsidRPr="005473E2">
              <w:rPr>
                <w:rFonts w:cs="Times New Roman"/>
                <w:sz w:val="20"/>
                <w:szCs w:val="20"/>
              </w:rPr>
              <w:t>23 620</w:t>
            </w:r>
          </w:p>
        </w:tc>
      </w:tr>
    </w:tbl>
    <w:p w:rsidR="00CA1FF1" w:rsidRPr="005473E2" w:rsidRDefault="00CA1FF1" w:rsidP="00CA1FF1">
      <w:pPr>
        <w:ind w:left="-142"/>
        <w:jc w:val="both"/>
        <w:rPr>
          <w:rFonts w:cs="Times New Roman"/>
        </w:rPr>
      </w:pPr>
    </w:p>
    <w:p w:rsidR="00CA1FF1" w:rsidRPr="005473E2" w:rsidRDefault="00CA1FF1" w:rsidP="00CA1FF1">
      <w:pPr>
        <w:ind w:firstLine="567"/>
        <w:jc w:val="both"/>
        <w:rPr>
          <w:rFonts w:cs="Times New Roman"/>
        </w:rPr>
      </w:pPr>
    </w:p>
    <w:p w:rsidR="00CA1FF1" w:rsidRPr="005473E2" w:rsidRDefault="00CA1FF1" w:rsidP="00CA1FF1">
      <w:pPr>
        <w:rPr>
          <w:sz w:val="23"/>
          <w:szCs w:val="23"/>
        </w:rPr>
      </w:pPr>
      <w:r w:rsidRPr="005473E2">
        <w:rPr>
          <w:sz w:val="23"/>
          <w:szCs w:val="23"/>
        </w:rPr>
        <w:t xml:space="preserve">Верно: </w:t>
      </w:r>
      <w:r w:rsidR="00721E90" w:rsidRPr="005473E2">
        <w:rPr>
          <w:sz w:val="23"/>
          <w:szCs w:val="23"/>
        </w:rPr>
        <w:t>начальник</w:t>
      </w:r>
      <w:r w:rsidRPr="005473E2">
        <w:rPr>
          <w:sz w:val="23"/>
          <w:szCs w:val="23"/>
        </w:rPr>
        <w:t xml:space="preserve"> отдела экономического анализа и прогнозирования </w:t>
      </w:r>
    </w:p>
    <w:p w:rsidR="00CA1FF1" w:rsidRPr="005473E2" w:rsidRDefault="00721E90" w:rsidP="00CA1FF1">
      <w:pPr>
        <w:rPr>
          <w:sz w:val="12"/>
        </w:rPr>
      </w:pPr>
      <w:r w:rsidRPr="005473E2">
        <w:rPr>
          <w:sz w:val="23"/>
          <w:szCs w:val="23"/>
        </w:rPr>
        <w:t>Финансового</w:t>
      </w:r>
      <w:r w:rsidR="00CA1FF1" w:rsidRPr="005473E2">
        <w:rPr>
          <w:sz w:val="23"/>
          <w:szCs w:val="23"/>
        </w:rPr>
        <w:t xml:space="preserve"> управления Администрации городского округа Электросталь Московской области        ______________________________ </w:t>
      </w:r>
      <w:proofErr w:type="spellStart"/>
      <w:r w:rsidR="00CA1FF1" w:rsidRPr="005473E2">
        <w:rPr>
          <w:sz w:val="23"/>
          <w:szCs w:val="23"/>
        </w:rPr>
        <w:t>Н.Н.Вельц</w:t>
      </w:r>
      <w:proofErr w:type="spellEnd"/>
    </w:p>
    <w:p w:rsidR="00CA1FF1" w:rsidRPr="00CA1FF1" w:rsidRDefault="00CA1FF1" w:rsidP="00CA1FF1">
      <w:pPr>
        <w:ind w:firstLine="567"/>
        <w:jc w:val="both"/>
        <w:rPr>
          <w:rFonts w:cs="Times New Roman"/>
        </w:rPr>
      </w:pPr>
    </w:p>
    <w:p w:rsidR="00FA098C" w:rsidRPr="00CA1FF1" w:rsidRDefault="00FA098C" w:rsidP="00523AC7">
      <w:pPr>
        <w:ind w:firstLine="567"/>
        <w:jc w:val="both"/>
        <w:rPr>
          <w:rFonts w:cs="Times New Roman"/>
        </w:rPr>
      </w:pPr>
    </w:p>
    <w:sectPr w:rsidR="00FA098C" w:rsidRPr="00CA1FF1" w:rsidSect="0045465E">
      <w:footerReference w:type="default" r:id="rId12"/>
      <w:pgSz w:w="16838" w:h="11906" w:orient="landscape"/>
      <w:pgMar w:top="1134" w:right="113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F6A" w:rsidRDefault="00F41F6A" w:rsidP="00D546F7">
      <w:r>
        <w:separator/>
      </w:r>
    </w:p>
  </w:endnote>
  <w:endnote w:type="continuationSeparator" w:id="0">
    <w:p w:rsidR="00F41F6A" w:rsidRDefault="00F41F6A" w:rsidP="00D5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B6D" w:rsidRPr="006E74C4" w:rsidRDefault="00593B6D" w:rsidP="006E74C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F6A" w:rsidRDefault="00F41F6A" w:rsidP="00D546F7">
      <w:r>
        <w:separator/>
      </w:r>
    </w:p>
  </w:footnote>
  <w:footnote w:type="continuationSeparator" w:id="0">
    <w:p w:rsidR="00F41F6A" w:rsidRDefault="00F41F6A" w:rsidP="00D54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874105"/>
      <w:docPartObj>
        <w:docPartGallery w:val="Page Numbers (Top of Page)"/>
        <w:docPartUnique/>
      </w:docPartObj>
    </w:sdtPr>
    <w:sdtEndPr/>
    <w:sdtContent>
      <w:p w:rsidR="00593B6D" w:rsidRDefault="00593B6D">
        <w:pPr>
          <w:pStyle w:val="ab"/>
          <w:jc w:val="center"/>
        </w:pPr>
        <w:r>
          <w:rPr>
            <w:noProof/>
          </w:rPr>
          <w:fldChar w:fldCharType="begin"/>
        </w:r>
        <w:r>
          <w:rPr>
            <w:noProof/>
          </w:rPr>
          <w:instrText xml:space="preserve"> PAGE   \* MERGEFORMAT </w:instrText>
        </w:r>
        <w:r>
          <w:rPr>
            <w:noProof/>
          </w:rPr>
          <w:fldChar w:fldCharType="separate"/>
        </w:r>
        <w:r w:rsidR="00D00363">
          <w:rPr>
            <w:noProof/>
          </w:rPr>
          <w:t>21</w:t>
        </w:r>
        <w:r>
          <w:rPr>
            <w:noProof/>
          </w:rPr>
          <w:fldChar w:fldCharType="end"/>
        </w:r>
      </w:p>
    </w:sdtContent>
  </w:sdt>
  <w:p w:rsidR="00593B6D" w:rsidRDefault="00593B6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B6D" w:rsidRDefault="00593B6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404D5"/>
    <w:multiLevelType w:val="hybridMultilevel"/>
    <w:tmpl w:val="9DD22B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5C586830"/>
    <w:multiLevelType w:val="hybridMultilevel"/>
    <w:tmpl w:val="FB14DD36"/>
    <w:lvl w:ilvl="0" w:tplc="D90E9AD8">
      <w:start w:val="1"/>
      <w:numFmt w:val="decimal"/>
      <w:lvlText w:val="%1."/>
      <w:lvlJc w:val="left"/>
      <w:pPr>
        <w:ind w:left="1320" w:hanging="780"/>
      </w:pPr>
      <w:rPr>
        <w:rFonts w:ascii="Times New Roman" w:hAnsi="Times New Roman" w:cs="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0887333"/>
    <w:multiLevelType w:val="hybridMultilevel"/>
    <w:tmpl w:val="4E4A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FF3FE0"/>
    <w:multiLevelType w:val="hybridMultilevel"/>
    <w:tmpl w:val="53F8E8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82"/>
    <w:rsid w:val="00005C0F"/>
    <w:rsid w:val="0002117C"/>
    <w:rsid w:val="00022813"/>
    <w:rsid w:val="000306DA"/>
    <w:rsid w:val="00030FBA"/>
    <w:rsid w:val="00040953"/>
    <w:rsid w:val="000476E1"/>
    <w:rsid w:val="00047975"/>
    <w:rsid w:val="00056CF2"/>
    <w:rsid w:val="00057371"/>
    <w:rsid w:val="00057A27"/>
    <w:rsid w:val="00061549"/>
    <w:rsid w:val="00062431"/>
    <w:rsid w:val="00071A04"/>
    <w:rsid w:val="00071B41"/>
    <w:rsid w:val="00076E40"/>
    <w:rsid w:val="00087992"/>
    <w:rsid w:val="000A3C7B"/>
    <w:rsid w:val="000A690C"/>
    <w:rsid w:val="000B06CB"/>
    <w:rsid w:val="000B1806"/>
    <w:rsid w:val="000B2572"/>
    <w:rsid w:val="000B6BB8"/>
    <w:rsid w:val="000C04AB"/>
    <w:rsid w:val="000C78F2"/>
    <w:rsid w:val="000D2078"/>
    <w:rsid w:val="000D64B0"/>
    <w:rsid w:val="000F1450"/>
    <w:rsid w:val="000F2FB1"/>
    <w:rsid w:val="00113AAA"/>
    <w:rsid w:val="001164B6"/>
    <w:rsid w:val="00120DF6"/>
    <w:rsid w:val="001222C4"/>
    <w:rsid w:val="00124351"/>
    <w:rsid w:val="00134226"/>
    <w:rsid w:val="00136420"/>
    <w:rsid w:val="001374AC"/>
    <w:rsid w:val="00141149"/>
    <w:rsid w:val="00173915"/>
    <w:rsid w:val="00177DD0"/>
    <w:rsid w:val="00187049"/>
    <w:rsid w:val="0018779E"/>
    <w:rsid w:val="001A0BC2"/>
    <w:rsid w:val="001A0CFF"/>
    <w:rsid w:val="001B57D7"/>
    <w:rsid w:val="001C1308"/>
    <w:rsid w:val="001C2450"/>
    <w:rsid w:val="001C5AD2"/>
    <w:rsid w:val="001D7001"/>
    <w:rsid w:val="001E4D5D"/>
    <w:rsid w:val="001E6D8E"/>
    <w:rsid w:val="002105CB"/>
    <w:rsid w:val="00214D60"/>
    <w:rsid w:val="002200D0"/>
    <w:rsid w:val="0022336E"/>
    <w:rsid w:val="00225058"/>
    <w:rsid w:val="00232328"/>
    <w:rsid w:val="00235A39"/>
    <w:rsid w:val="0024163F"/>
    <w:rsid w:val="0024607F"/>
    <w:rsid w:val="00272CCD"/>
    <w:rsid w:val="002829D2"/>
    <w:rsid w:val="002841D6"/>
    <w:rsid w:val="00285C49"/>
    <w:rsid w:val="002940E0"/>
    <w:rsid w:val="002948BE"/>
    <w:rsid w:val="00294FB6"/>
    <w:rsid w:val="002B4746"/>
    <w:rsid w:val="002C0583"/>
    <w:rsid w:val="002C1120"/>
    <w:rsid w:val="002C12AE"/>
    <w:rsid w:val="002C17D9"/>
    <w:rsid w:val="002D4479"/>
    <w:rsid w:val="002D7C2C"/>
    <w:rsid w:val="002E5EAB"/>
    <w:rsid w:val="002F0EBB"/>
    <w:rsid w:val="002F31DF"/>
    <w:rsid w:val="002F5655"/>
    <w:rsid w:val="002F745E"/>
    <w:rsid w:val="003165E4"/>
    <w:rsid w:val="00317A0D"/>
    <w:rsid w:val="003211B0"/>
    <w:rsid w:val="00322FA4"/>
    <w:rsid w:val="00323EBF"/>
    <w:rsid w:val="00324A1C"/>
    <w:rsid w:val="0034074F"/>
    <w:rsid w:val="003411CE"/>
    <w:rsid w:val="00347F7A"/>
    <w:rsid w:val="003532F8"/>
    <w:rsid w:val="00361CEF"/>
    <w:rsid w:val="00365A5B"/>
    <w:rsid w:val="00371332"/>
    <w:rsid w:val="00382198"/>
    <w:rsid w:val="0038430D"/>
    <w:rsid w:val="0039166D"/>
    <w:rsid w:val="00392F1A"/>
    <w:rsid w:val="00393C20"/>
    <w:rsid w:val="0039794C"/>
    <w:rsid w:val="003A0776"/>
    <w:rsid w:val="003A1640"/>
    <w:rsid w:val="003A779B"/>
    <w:rsid w:val="003B0AB4"/>
    <w:rsid w:val="003B48BE"/>
    <w:rsid w:val="003B6DBF"/>
    <w:rsid w:val="003B7096"/>
    <w:rsid w:val="003C0D95"/>
    <w:rsid w:val="003D68C2"/>
    <w:rsid w:val="00400D86"/>
    <w:rsid w:val="004071E2"/>
    <w:rsid w:val="00410163"/>
    <w:rsid w:val="0041354F"/>
    <w:rsid w:val="00413E0D"/>
    <w:rsid w:val="004141B9"/>
    <w:rsid w:val="0041669B"/>
    <w:rsid w:val="004325A0"/>
    <w:rsid w:val="0045465E"/>
    <w:rsid w:val="00461C39"/>
    <w:rsid w:val="004746BB"/>
    <w:rsid w:val="004762DB"/>
    <w:rsid w:val="004843B9"/>
    <w:rsid w:val="00494CD0"/>
    <w:rsid w:val="00495141"/>
    <w:rsid w:val="004B32CF"/>
    <w:rsid w:val="004C1B71"/>
    <w:rsid w:val="004C1BE3"/>
    <w:rsid w:val="004C3B05"/>
    <w:rsid w:val="004D05C3"/>
    <w:rsid w:val="004D2FCB"/>
    <w:rsid w:val="004D37E6"/>
    <w:rsid w:val="004D4855"/>
    <w:rsid w:val="004E12D9"/>
    <w:rsid w:val="004E4838"/>
    <w:rsid w:val="004F6260"/>
    <w:rsid w:val="00503F06"/>
    <w:rsid w:val="00510676"/>
    <w:rsid w:val="0051118A"/>
    <w:rsid w:val="00513B09"/>
    <w:rsid w:val="00513D38"/>
    <w:rsid w:val="005223B0"/>
    <w:rsid w:val="00523AC7"/>
    <w:rsid w:val="005248DD"/>
    <w:rsid w:val="0053125A"/>
    <w:rsid w:val="00532B35"/>
    <w:rsid w:val="00534856"/>
    <w:rsid w:val="00534A8D"/>
    <w:rsid w:val="0054151E"/>
    <w:rsid w:val="0054414A"/>
    <w:rsid w:val="005473E2"/>
    <w:rsid w:val="00551653"/>
    <w:rsid w:val="005523DD"/>
    <w:rsid w:val="00563433"/>
    <w:rsid w:val="00565AE9"/>
    <w:rsid w:val="00567C32"/>
    <w:rsid w:val="00567D03"/>
    <w:rsid w:val="005848E7"/>
    <w:rsid w:val="00593B6D"/>
    <w:rsid w:val="005956C8"/>
    <w:rsid w:val="005A064D"/>
    <w:rsid w:val="005A3E00"/>
    <w:rsid w:val="005B2B5A"/>
    <w:rsid w:val="005B787D"/>
    <w:rsid w:val="005C0FE0"/>
    <w:rsid w:val="005C2ABC"/>
    <w:rsid w:val="005C3A01"/>
    <w:rsid w:val="005C453A"/>
    <w:rsid w:val="005D210D"/>
    <w:rsid w:val="005E07C3"/>
    <w:rsid w:val="00600070"/>
    <w:rsid w:val="00602F10"/>
    <w:rsid w:val="0060369F"/>
    <w:rsid w:val="006066B9"/>
    <w:rsid w:val="00607DA3"/>
    <w:rsid w:val="00612DB5"/>
    <w:rsid w:val="00614C61"/>
    <w:rsid w:val="00624E9B"/>
    <w:rsid w:val="0063054A"/>
    <w:rsid w:val="00633D13"/>
    <w:rsid w:val="00634087"/>
    <w:rsid w:val="0064274B"/>
    <w:rsid w:val="00652B2C"/>
    <w:rsid w:val="00652E41"/>
    <w:rsid w:val="006541BC"/>
    <w:rsid w:val="0066149C"/>
    <w:rsid w:val="0067038C"/>
    <w:rsid w:val="00671D64"/>
    <w:rsid w:val="0067228F"/>
    <w:rsid w:val="0067424C"/>
    <w:rsid w:val="00674677"/>
    <w:rsid w:val="006948BD"/>
    <w:rsid w:val="00695D3C"/>
    <w:rsid w:val="006A2C39"/>
    <w:rsid w:val="006A369B"/>
    <w:rsid w:val="006A4A11"/>
    <w:rsid w:val="006B0545"/>
    <w:rsid w:val="006C1909"/>
    <w:rsid w:val="006C4D54"/>
    <w:rsid w:val="006D3247"/>
    <w:rsid w:val="006D40B2"/>
    <w:rsid w:val="006D4794"/>
    <w:rsid w:val="006D7CCF"/>
    <w:rsid w:val="006E12B5"/>
    <w:rsid w:val="006E2F87"/>
    <w:rsid w:val="006E4711"/>
    <w:rsid w:val="006E74C4"/>
    <w:rsid w:val="006F5859"/>
    <w:rsid w:val="00707B78"/>
    <w:rsid w:val="00712B5A"/>
    <w:rsid w:val="00721C90"/>
    <w:rsid w:val="00721E90"/>
    <w:rsid w:val="00724941"/>
    <w:rsid w:val="007474E1"/>
    <w:rsid w:val="00750F5D"/>
    <w:rsid w:val="00751F1A"/>
    <w:rsid w:val="00754B03"/>
    <w:rsid w:val="0075722E"/>
    <w:rsid w:val="007611E3"/>
    <w:rsid w:val="00764646"/>
    <w:rsid w:val="0076520C"/>
    <w:rsid w:val="007652C3"/>
    <w:rsid w:val="00780E54"/>
    <w:rsid w:val="00791C6A"/>
    <w:rsid w:val="00796A52"/>
    <w:rsid w:val="007A1EB9"/>
    <w:rsid w:val="007A4DE8"/>
    <w:rsid w:val="007B1CFB"/>
    <w:rsid w:val="007B35EB"/>
    <w:rsid w:val="007B43EF"/>
    <w:rsid w:val="007B67F1"/>
    <w:rsid w:val="007C0D02"/>
    <w:rsid w:val="007C1F92"/>
    <w:rsid w:val="007D2D0D"/>
    <w:rsid w:val="007D5248"/>
    <w:rsid w:val="007D5C3A"/>
    <w:rsid w:val="007D794A"/>
    <w:rsid w:val="00800B87"/>
    <w:rsid w:val="00801EA5"/>
    <w:rsid w:val="00804229"/>
    <w:rsid w:val="00804A80"/>
    <w:rsid w:val="0080621A"/>
    <w:rsid w:val="0081003D"/>
    <w:rsid w:val="0081326C"/>
    <w:rsid w:val="0081731B"/>
    <w:rsid w:val="00824A63"/>
    <w:rsid w:val="00826FFA"/>
    <w:rsid w:val="008270DC"/>
    <w:rsid w:val="00840BB6"/>
    <w:rsid w:val="00842C78"/>
    <w:rsid w:val="00845381"/>
    <w:rsid w:val="00856BE0"/>
    <w:rsid w:val="00867ABC"/>
    <w:rsid w:val="00875CBC"/>
    <w:rsid w:val="008815CB"/>
    <w:rsid w:val="00885137"/>
    <w:rsid w:val="00887339"/>
    <w:rsid w:val="00894F10"/>
    <w:rsid w:val="008A27F8"/>
    <w:rsid w:val="008B0764"/>
    <w:rsid w:val="008B215C"/>
    <w:rsid w:val="008B2D31"/>
    <w:rsid w:val="008B7539"/>
    <w:rsid w:val="008C306B"/>
    <w:rsid w:val="008C5D7A"/>
    <w:rsid w:val="008C5F3B"/>
    <w:rsid w:val="008C7E4A"/>
    <w:rsid w:val="008E1400"/>
    <w:rsid w:val="008E61A7"/>
    <w:rsid w:val="008F3227"/>
    <w:rsid w:val="0090165B"/>
    <w:rsid w:val="0091062D"/>
    <w:rsid w:val="00922F19"/>
    <w:rsid w:val="009316C0"/>
    <w:rsid w:val="00932605"/>
    <w:rsid w:val="00941173"/>
    <w:rsid w:val="00944EC8"/>
    <w:rsid w:val="00954270"/>
    <w:rsid w:val="00962B99"/>
    <w:rsid w:val="00965094"/>
    <w:rsid w:val="00973A2C"/>
    <w:rsid w:val="009746AA"/>
    <w:rsid w:val="00977AD6"/>
    <w:rsid w:val="00981226"/>
    <w:rsid w:val="00983A94"/>
    <w:rsid w:val="00992CC9"/>
    <w:rsid w:val="00995553"/>
    <w:rsid w:val="0099566B"/>
    <w:rsid w:val="009A00B4"/>
    <w:rsid w:val="009A0FDB"/>
    <w:rsid w:val="009A3F83"/>
    <w:rsid w:val="009A471B"/>
    <w:rsid w:val="009C3EF4"/>
    <w:rsid w:val="009C6D7A"/>
    <w:rsid w:val="009D0E21"/>
    <w:rsid w:val="009D1770"/>
    <w:rsid w:val="009E39FB"/>
    <w:rsid w:val="009E43A7"/>
    <w:rsid w:val="009E6B3B"/>
    <w:rsid w:val="009F0F1F"/>
    <w:rsid w:val="009F6DA9"/>
    <w:rsid w:val="00A06BE3"/>
    <w:rsid w:val="00A07D65"/>
    <w:rsid w:val="00A10057"/>
    <w:rsid w:val="00A21782"/>
    <w:rsid w:val="00A23311"/>
    <w:rsid w:val="00A305C8"/>
    <w:rsid w:val="00A31C1F"/>
    <w:rsid w:val="00A3530A"/>
    <w:rsid w:val="00A36C61"/>
    <w:rsid w:val="00A37F90"/>
    <w:rsid w:val="00A428F3"/>
    <w:rsid w:val="00A51898"/>
    <w:rsid w:val="00A5608E"/>
    <w:rsid w:val="00A57020"/>
    <w:rsid w:val="00A6332C"/>
    <w:rsid w:val="00A67834"/>
    <w:rsid w:val="00A73188"/>
    <w:rsid w:val="00A73E81"/>
    <w:rsid w:val="00A76607"/>
    <w:rsid w:val="00A834E6"/>
    <w:rsid w:val="00A955A1"/>
    <w:rsid w:val="00A979ED"/>
    <w:rsid w:val="00AA0B10"/>
    <w:rsid w:val="00AB7577"/>
    <w:rsid w:val="00AB7A17"/>
    <w:rsid w:val="00AC2AD8"/>
    <w:rsid w:val="00AC3060"/>
    <w:rsid w:val="00AD52E1"/>
    <w:rsid w:val="00AE2A94"/>
    <w:rsid w:val="00AF673B"/>
    <w:rsid w:val="00B066C0"/>
    <w:rsid w:val="00B06948"/>
    <w:rsid w:val="00B06CA5"/>
    <w:rsid w:val="00B11734"/>
    <w:rsid w:val="00B123E0"/>
    <w:rsid w:val="00B3085C"/>
    <w:rsid w:val="00B31B13"/>
    <w:rsid w:val="00B31EDC"/>
    <w:rsid w:val="00B35581"/>
    <w:rsid w:val="00B36434"/>
    <w:rsid w:val="00B3794C"/>
    <w:rsid w:val="00B42B92"/>
    <w:rsid w:val="00B45810"/>
    <w:rsid w:val="00B46121"/>
    <w:rsid w:val="00B47AF6"/>
    <w:rsid w:val="00B500BD"/>
    <w:rsid w:val="00B52BB3"/>
    <w:rsid w:val="00B5496B"/>
    <w:rsid w:val="00B60B22"/>
    <w:rsid w:val="00B647D3"/>
    <w:rsid w:val="00B660F8"/>
    <w:rsid w:val="00B664EF"/>
    <w:rsid w:val="00BA7709"/>
    <w:rsid w:val="00BB3285"/>
    <w:rsid w:val="00BC666E"/>
    <w:rsid w:val="00BD0F35"/>
    <w:rsid w:val="00BD10AF"/>
    <w:rsid w:val="00BD22BB"/>
    <w:rsid w:val="00BD2683"/>
    <w:rsid w:val="00BD2FEA"/>
    <w:rsid w:val="00BD7A34"/>
    <w:rsid w:val="00BE5BED"/>
    <w:rsid w:val="00BF3D16"/>
    <w:rsid w:val="00BF6D88"/>
    <w:rsid w:val="00BF757B"/>
    <w:rsid w:val="00C06251"/>
    <w:rsid w:val="00C14087"/>
    <w:rsid w:val="00C142BC"/>
    <w:rsid w:val="00C22149"/>
    <w:rsid w:val="00C35D9D"/>
    <w:rsid w:val="00C3658F"/>
    <w:rsid w:val="00C4501A"/>
    <w:rsid w:val="00C54646"/>
    <w:rsid w:val="00C57610"/>
    <w:rsid w:val="00C57B5B"/>
    <w:rsid w:val="00C66C5F"/>
    <w:rsid w:val="00C73E9C"/>
    <w:rsid w:val="00C75EDE"/>
    <w:rsid w:val="00C77BE2"/>
    <w:rsid w:val="00C8500A"/>
    <w:rsid w:val="00C87F9B"/>
    <w:rsid w:val="00CA020C"/>
    <w:rsid w:val="00CA1FF1"/>
    <w:rsid w:val="00CA2128"/>
    <w:rsid w:val="00CA4C70"/>
    <w:rsid w:val="00CC0350"/>
    <w:rsid w:val="00CC0F2D"/>
    <w:rsid w:val="00CC47F5"/>
    <w:rsid w:val="00CC58B2"/>
    <w:rsid w:val="00CC795D"/>
    <w:rsid w:val="00CD289F"/>
    <w:rsid w:val="00CD3E4F"/>
    <w:rsid w:val="00CE0105"/>
    <w:rsid w:val="00CE0BBF"/>
    <w:rsid w:val="00CE5509"/>
    <w:rsid w:val="00CE69A2"/>
    <w:rsid w:val="00CF09B1"/>
    <w:rsid w:val="00CF25AE"/>
    <w:rsid w:val="00CF361A"/>
    <w:rsid w:val="00CF6267"/>
    <w:rsid w:val="00CF7112"/>
    <w:rsid w:val="00D00363"/>
    <w:rsid w:val="00D00A08"/>
    <w:rsid w:val="00D04EC7"/>
    <w:rsid w:val="00D102B4"/>
    <w:rsid w:val="00D1310F"/>
    <w:rsid w:val="00D20750"/>
    <w:rsid w:val="00D24BF3"/>
    <w:rsid w:val="00D36AB5"/>
    <w:rsid w:val="00D37CEF"/>
    <w:rsid w:val="00D40660"/>
    <w:rsid w:val="00D53838"/>
    <w:rsid w:val="00D546F7"/>
    <w:rsid w:val="00D67519"/>
    <w:rsid w:val="00D70BD9"/>
    <w:rsid w:val="00D70E8F"/>
    <w:rsid w:val="00D77E3D"/>
    <w:rsid w:val="00D9295E"/>
    <w:rsid w:val="00D93DF9"/>
    <w:rsid w:val="00D96DB7"/>
    <w:rsid w:val="00DA1E7B"/>
    <w:rsid w:val="00DA3CB8"/>
    <w:rsid w:val="00DB1008"/>
    <w:rsid w:val="00DB26C1"/>
    <w:rsid w:val="00DB2CCD"/>
    <w:rsid w:val="00DB4655"/>
    <w:rsid w:val="00DC292A"/>
    <w:rsid w:val="00DC3A2A"/>
    <w:rsid w:val="00DD2ED7"/>
    <w:rsid w:val="00DE526F"/>
    <w:rsid w:val="00DE58AC"/>
    <w:rsid w:val="00DF105C"/>
    <w:rsid w:val="00DF5292"/>
    <w:rsid w:val="00E00494"/>
    <w:rsid w:val="00E018B9"/>
    <w:rsid w:val="00E04256"/>
    <w:rsid w:val="00E063B4"/>
    <w:rsid w:val="00E07580"/>
    <w:rsid w:val="00E159AD"/>
    <w:rsid w:val="00E15C26"/>
    <w:rsid w:val="00E2231C"/>
    <w:rsid w:val="00E274E4"/>
    <w:rsid w:val="00E33DE9"/>
    <w:rsid w:val="00E42BF2"/>
    <w:rsid w:val="00E43CA2"/>
    <w:rsid w:val="00E502E8"/>
    <w:rsid w:val="00E51794"/>
    <w:rsid w:val="00E64A58"/>
    <w:rsid w:val="00E65A39"/>
    <w:rsid w:val="00E6649D"/>
    <w:rsid w:val="00E67667"/>
    <w:rsid w:val="00E76300"/>
    <w:rsid w:val="00E80A7D"/>
    <w:rsid w:val="00E8158F"/>
    <w:rsid w:val="00E85D1B"/>
    <w:rsid w:val="00E9047C"/>
    <w:rsid w:val="00E96435"/>
    <w:rsid w:val="00EA3558"/>
    <w:rsid w:val="00EA6405"/>
    <w:rsid w:val="00EA6666"/>
    <w:rsid w:val="00EC13A5"/>
    <w:rsid w:val="00EC2B78"/>
    <w:rsid w:val="00ED38B8"/>
    <w:rsid w:val="00ED5C79"/>
    <w:rsid w:val="00EF4F60"/>
    <w:rsid w:val="00EF5D60"/>
    <w:rsid w:val="00F01393"/>
    <w:rsid w:val="00F042FE"/>
    <w:rsid w:val="00F1019A"/>
    <w:rsid w:val="00F148CE"/>
    <w:rsid w:val="00F31591"/>
    <w:rsid w:val="00F36A58"/>
    <w:rsid w:val="00F41F6A"/>
    <w:rsid w:val="00F4265B"/>
    <w:rsid w:val="00F4496D"/>
    <w:rsid w:val="00F45151"/>
    <w:rsid w:val="00F460A6"/>
    <w:rsid w:val="00F46819"/>
    <w:rsid w:val="00F47B49"/>
    <w:rsid w:val="00F50721"/>
    <w:rsid w:val="00F52112"/>
    <w:rsid w:val="00F535F5"/>
    <w:rsid w:val="00F53D85"/>
    <w:rsid w:val="00F606D7"/>
    <w:rsid w:val="00F660E4"/>
    <w:rsid w:val="00F80784"/>
    <w:rsid w:val="00F93EF6"/>
    <w:rsid w:val="00F94D0E"/>
    <w:rsid w:val="00F94FF5"/>
    <w:rsid w:val="00F97109"/>
    <w:rsid w:val="00FA098C"/>
    <w:rsid w:val="00FB10AF"/>
    <w:rsid w:val="00FB6556"/>
    <w:rsid w:val="00FB7053"/>
    <w:rsid w:val="00FC1985"/>
    <w:rsid w:val="00FE1069"/>
    <w:rsid w:val="00FE2983"/>
    <w:rsid w:val="00FE4282"/>
    <w:rsid w:val="00FE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123CCD-D6B8-4209-9874-9EBF4B2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2"/>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428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FE4282"/>
    <w:rPr>
      <w:rFonts w:ascii="Calibri" w:eastAsia="Times New Roman" w:hAnsi="Calibri" w:cs="Calibri"/>
      <w:szCs w:val="20"/>
      <w:lang w:eastAsia="ru-RU"/>
    </w:rPr>
  </w:style>
  <w:style w:type="paragraph" w:styleId="a3">
    <w:name w:val="List Paragraph"/>
    <w:basedOn w:val="a"/>
    <w:link w:val="a4"/>
    <w:uiPriority w:val="99"/>
    <w:qFormat/>
    <w:rsid w:val="00FE4282"/>
    <w:pPr>
      <w:ind w:left="720"/>
      <w:contextualSpacing/>
    </w:pPr>
    <w:rPr>
      <w:rFonts w:cs="Times New Roman"/>
    </w:rPr>
  </w:style>
  <w:style w:type="character" w:customStyle="1" w:styleId="a4">
    <w:name w:val="Абзац списка Знак"/>
    <w:link w:val="a3"/>
    <w:uiPriority w:val="99"/>
    <w:locked/>
    <w:rsid w:val="00FE4282"/>
    <w:rPr>
      <w:rFonts w:ascii="Times New Roman" w:eastAsia="Times New Roman" w:hAnsi="Times New Roman" w:cs="Times New Roman"/>
      <w:sz w:val="24"/>
      <w:szCs w:val="24"/>
    </w:rPr>
  </w:style>
  <w:style w:type="paragraph" w:styleId="a5">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Знак"/>
    <w:basedOn w:val="a"/>
    <w:link w:val="a6"/>
    <w:uiPriority w:val="99"/>
    <w:qFormat/>
    <w:rsid w:val="00FE4282"/>
    <w:pPr>
      <w:spacing w:before="75" w:after="75"/>
    </w:pPr>
    <w:rPr>
      <w:rFonts w:ascii="Tahoma" w:hAnsi="Tahoma" w:cs="Times New Roman"/>
    </w:rPr>
  </w:style>
  <w:style w:type="character" w:customStyle="1" w:styleId="a6">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Знак Знак"/>
    <w:link w:val="a5"/>
    <w:uiPriority w:val="99"/>
    <w:locked/>
    <w:rsid w:val="00FE4282"/>
    <w:rPr>
      <w:rFonts w:ascii="Tahoma" w:eastAsia="Times New Roman" w:hAnsi="Tahoma" w:cs="Times New Roman"/>
      <w:sz w:val="24"/>
      <w:szCs w:val="24"/>
    </w:rPr>
  </w:style>
  <w:style w:type="paragraph" w:styleId="a7">
    <w:name w:val="No Spacing"/>
    <w:uiPriority w:val="1"/>
    <w:qFormat/>
    <w:rsid w:val="00FE4282"/>
    <w:pPr>
      <w:spacing w:after="0" w:line="240" w:lineRule="auto"/>
    </w:pPr>
    <w:rPr>
      <w:rFonts w:ascii="Calibri" w:eastAsia="Times New Roman" w:hAnsi="Calibri" w:cs="Times New Roman"/>
      <w:lang w:eastAsia="ru-RU"/>
    </w:rPr>
  </w:style>
  <w:style w:type="paragraph" w:customStyle="1" w:styleId="a8">
    <w:name w:val="Базовый"/>
    <w:rsid w:val="00FE4282"/>
    <w:pPr>
      <w:tabs>
        <w:tab w:val="left" w:pos="709"/>
      </w:tabs>
      <w:suppressAutoHyphens/>
      <w:spacing w:after="0" w:line="100" w:lineRule="atLeast"/>
    </w:pPr>
    <w:rPr>
      <w:rFonts w:ascii="Calibri" w:eastAsia="DejaVu Sans" w:hAnsi="Calibri" w:cs="Times New Roman"/>
      <w:lang w:eastAsia="ru-RU"/>
    </w:rPr>
  </w:style>
  <w:style w:type="paragraph" w:styleId="3">
    <w:name w:val="Body Text Indent 3"/>
    <w:basedOn w:val="a"/>
    <w:link w:val="30"/>
    <w:rsid w:val="00FE4282"/>
    <w:pPr>
      <w:spacing w:after="120"/>
      <w:ind w:left="283"/>
    </w:pPr>
    <w:rPr>
      <w:rFonts w:cs="Times New Roman"/>
      <w:sz w:val="16"/>
      <w:szCs w:val="16"/>
    </w:rPr>
  </w:style>
  <w:style w:type="character" w:customStyle="1" w:styleId="30">
    <w:name w:val="Основной текст с отступом 3 Знак"/>
    <w:basedOn w:val="a0"/>
    <w:link w:val="3"/>
    <w:rsid w:val="00FE4282"/>
    <w:rPr>
      <w:rFonts w:ascii="Times New Roman" w:eastAsia="Times New Roman" w:hAnsi="Times New Roman" w:cs="Times New Roman"/>
      <w:sz w:val="16"/>
      <w:szCs w:val="16"/>
      <w:lang w:eastAsia="ru-RU"/>
    </w:rPr>
  </w:style>
  <w:style w:type="paragraph" w:customStyle="1" w:styleId="2">
    <w:name w:val="Без интервала2"/>
    <w:rsid w:val="00FE4282"/>
    <w:pPr>
      <w:spacing w:after="0" w:line="240" w:lineRule="auto"/>
    </w:pPr>
    <w:rPr>
      <w:rFonts w:ascii="Times New Roman" w:eastAsia="Times New Roman" w:hAnsi="Times New Roman" w:cs="Times New Roman"/>
      <w:sz w:val="24"/>
    </w:rPr>
  </w:style>
  <w:style w:type="character" w:customStyle="1" w:styleId="apple-converted-space">
    <w:name w:val="apple-converted-space"/>
    <w:rsid w:val="00FE4282"/>
    <w:rPr>
      <w:rFonts w:cs="Times New Roman"/>
    </w:rPr>
  </w:style>
  <w:style w:type="paragraph" w:styleId="a9">
    <w:name w:val="footnote text"/>
    <w:aliases w:val="Текст сноски-FN,ft,Footnote Text Char Знак Знак,Footnote Text Char Знак,single space,-++,Текст сноски Знак1 Знак,Текст сноски Знак Знак Знак,Текст сноски Знак1,Текст сноски Знак Знак,Текст сноски Знак1 Знак Знак"/>
    <w:basedOn w:val="a"/>
    <w:link w:val="aa"/>
    <w:rsid w:val="00FE4282"/>
    <w:pPr>
      <w:ind w:left="760" w:hanging="357"/>
    </w:pPr>
    <w:rPr>
      <w:rFonts w:ascii="Calibri" w:hAnsi="Calibri" w:cs="Times New Roman"/>
      <w:sz w:val="20"/>
      <w:szCs w:val="20"/>
      <w:lang w:eastAsia="en-US"/>
    </w:rPr>
  </w:style>
  <w:style w:type="character" w:customStyle="1" w:styleId="aa">
    <w:name w:val="Текст сноски Знак"/>
    <w:aliases w:val="Текст сноски-FN Знак,ft Знак,Footnote Text Char Знак Знак Знак,Footnote Text Char Знак Знак1,single space Знак,-++ Знак,Текст сноски Знак1 Знак Знак1,Текст сноски Знак Знак Знак Знак,Текст сноски Знак1 Знак1"/>
    <w:basedOn w:val="a0"/>
    <w:link w:val="a9"/>
    <w:rsid w:val="00FE4282"/>
    <w:rPr>
      <w:rFonts w:ascii="Calibri" w:eastAsia="Times New Roman" w:hAnsi="Calibri" w:cs="Times New Roman"/>
      <w:sz w:val="20"/>
      <w:szCs w:val="20"/>
    </w:rPr>
  </w:style>
  <w:style w:type="paragraph" w:styleId="ab">
    <w:name w:val="header"/>
    <w:basedOn w:val="a"/>
    <w:link w:val="ac"/>
    <w:uiPriority w:val="99"/>
    <w:unhideWhenUsed/>
    <w:rsid w:val="00D546F7"/>
    <w:pPr>
      <w:tabs>
        <w:tab w:val="center" w:pos="4677"/>
        <w:tab w:val="right" w:pos="9355"/>
      </w:tabs>
    </w:pPr>
  </w:style>
  <w:style w:type="character" w:customStyle="1" w:styleId="ac">
    <w:name w:val="Верхний колонтитул Знак"/>
    <w:basedOn w:val="a0"/>
    <w:link w:val="ab"/>
    <w:uiPriority w:val="99"/>
    <w:rsid w:val="00D546F7"/>
    <w:rPr>
      <w:rFonts w:ascii="Times New Roman" w:eastAsia="Times New Roman" w:hAnsi="Times New Roman" w:cs="Arial"/>
      <w:sz w:val="24"/>
      <w:szCs w:val="24"/>
      <w:lang w:eastAsia="ru-RU"/>
    </w:rPr>
  </w:style>
  <w:style w:type="paragraph" w:styleId="ad">
    <w:name w:val="footer"/>
    <w:basedOn w:val="a"/>
    <w:link w:val="ae"/>
    <w:uiPriority w:val="99"/>
    <w:unhideWhenUsed/>
    <w:rsid w:val="00D546F7"/>
    <w:pPr>
      <w:tabs>
        <w:tab w:val="center" w:pos="4677"/>
        <w:tab w:val="right" w:pos="9355"/>
      </w:tabs>
    </w:pPr>
  </w:style>
  <w:style w:type="character" w:customStyle="1" w:styleId="ae">
    <w:name w:val="Нижний колонтитул Знак"/>
    <w:basedOn w:val="a0"/>
    <w:link w:val="ad"/>
    <w:uiPriority w:val="99"/>
    <w:rsid w:val="00D546F7"/>
    <w:rPr>
      <w:rFonts w:ascii="Times New Roman" w:eastAsia="Times New Roman" w:hAnsi="Times New Roman" w:cs="Arial"/>
      <w:sz w:val="24"/>
      <w:szCs w:val="24"/>
      <w:lang w:eastAsia="ru-RU"/>
    </w:rPr>
  </w:style>
  <w:style w:type="paragraph" w:styleId="af">
    <w:name w:val="Body Text Indent"/>
    <w:basedOn w:val="a"/>
    <w:link w:val="af0"/>
    <w:uiPriority w:val="99"/>
    <w:unhideWhenUsed/>
    <w:rsid w:val="001E6D8E"/>
    <w:pPr>
      <w:spacing w:after="120"/>
      <w:ind w:left="283"/>
    </w:pPr>
  </w:style>
  <w:style w:type="character" w:customStyle="1" w:styleId="af0">
    <w:name w:val="Основной текст с отступом Знак"/>
    <w:basedOn w:val="a0"/>
    <w:link w:val="af"/>
    <w:uiPriority w:val="99"/>
    <w:rsid w:val="001E6D8E"/>
    <w:rPr>
      <w:rFonts w:ascii="Times New Roman" w:eastAsia="Times New Roman" w:hAnsi="Times New Roman" w:cs="Arial"/>
      <w:sz w:val="24"/>
      <w:szCs w:val="24"/>
      <w:lang w:eastAsia="ru-RU"/>
    </w:rPr>
  </w:style>
  <w:style w:type="character" w:styleId="af1">
    <w:name w:val="Hyperlink"/>
    <w:basedOn w:val="a0"/>
    <w:uiPriority w:val="99"/>
    <w:unhideWhenUsed/>
    <w:rsid w:val="001E6D8E"/>
    <w:rPr>
      <w:color w:val="0000FF"/>
      <w:u w:val="single"/>
    </w:rPr>
  </w:style>
  <w:style w:type="paragraph" w:styleId="af2">
    <w:name w:val="Balloon Text"/>
    <w:basedOn w:val="a"/>
    <w:link w:val="af3"/>
    <w:uiPriority w:val="99"/>
    <w:semiHidden/>
    <w:unhideWhenUsed/>
    <w:rsid w:val="001E6D8E"/>
    <w:rPr>
      <w:rFonts w:ascii="Tahoma" w:hAnsi="Tahoma" w:cs="Tahoma"/>
      <w:sz w:val="16"/>
      <w:szCs w:val="16"/>
    </w:rPr>
  </w:style>
  <w:style w:type="character" w:customStyle="1" w:styleId="af3">
    <w:name w:val="Текст выноски Знак"/>
    <w:basedOn w:val="a0"/>
    <w:link w:val="af2"/>
    <w:uiPriority w:val="99"/>
    <w:semiHidden/>
    <w:rsid w:val="001E6D8E"/>
    <w:rPr>
      <w:rFonts w:ascii="Tahoma" w:eastAsia="Times New Roman" w:hAnsi="Tahoma" w:cs="Tahoma"/>
      <w:sz w:val="16"/>
      <w:szCs w:val="16"/>
      <w:lang w:eastAsia="ru-RU"/>
    </w:rPr>
  </w:style>
  <w:style w:type="paragraph" w:styleId="20">
    <w:name w:val="Body Text Indent 2"/>
    <w:basedOn w:val="a"/>
    <w:link w:val="21"/>
    <w:uiPriority w:val="99"/>
    <w:semiHidden/>
    <w:unhideWhenUsed/>
    <w:rsid w:val="00E80A7D"/>
    <w:pPr>
      <w:spacing w:after="120" w:line="480" w:lineRule="auto"/>
      <w:ind w:left="283"/>
    </w:pPr>
  </w:style>
  <w:style w:type="character" w:customStyle="1" w:styleId="21">
    <w:name w:val="Основной текст с отступом 2 Знак"/>
    <w:basedOn w:val="a0"/>
    <w:link w:val="20"/>
    <w:uiPriority w:val="99"/>
    <w:semiHidden/>
    <w:rsid w:val="00E80A7D"/>
    <w:rPr>
      <w:rFonts w:ascii="Times New Roman" w:eastAsia="Times New Roman" w:hAnsi="Times New Roman" w:cs="Arial"/>
      <w:sz w:val="24"/>
      <w:szCs w:val="24"/>
      <w:lang w:eastAsia="ru-RU"/>
    </w:rPr>
  </w:style>
  <w:style w:type="character" w:styleId="af4">
    <w:name w:val="FollowedHyperlink"/>
    <w:basedOn w:val="a0"/>
    <w:uiPriority w:val="99"/>
    <w:semiHidden/>
    <w:unhideWhenUsed/>
    <w:rsid w:val="00FA098C"/>
    <w:rPr>
      <w:color w:val="800080"/>
      <w:u w:val="single"/>
    </w:rPr>
  </w:style>
  <w:style w:type="paragraph" w:customStyle="1" w:styleId="xl65">
    <w:name w:val="xl65"/>
    <w:basedOn w:val="a"/>
    <w:rsid w:val="00FA098C"/>
    <w:pPr>
      <w:spacing w:before="100" w:beforeAutospacing="1" w:after="100" w:afterAutospacing="1"/>
      <w:textAlignment w:val="top"/>
    </w:pPr>
    <w:rPr>
      <w:rFonts w:ascii="Tahoma" w:hAnsi="Tahoma" w:cs="Tahoma"/>
      <w:color w:val="333333"/>
      <w:sz w:val="28"/>
      <w:szCs w:val="28"/>
    </w:rPr>
  </w:style>
  <w:style w:type="paragraph" w:customStyle="1" w:styleId="xl66">
    <w:name w:val="xl6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b/>
      <w:bCs/>
      <w:color w:val="333333"/>
      <w:sz w:val="18"/>
      <w:szCs w:val="18"/>
    </w:rPr>
  </w:style>
  <w:style w:type="paragraph" w:customStyle="1" w:styleId="xl67">
    <w:name w:val="xl6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68">
    <w:name w:val="xl68"/>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69">
    <w:name w:val="xl69"/>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70">
    <w:name w:val="xl70"/>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1">
    <w:name w:val="xl71"/>
    <w:basedOn w:val="a"/>
    <w:rsid w:val="00FA098C"/>
    <w:pPr>
      <w:pBdr>
        <w:top w:val="single" w:sz="4" w:space="0" w:color="C0C0C0"/>
        <w:left w:val="single" w:sz="4" w:space="22" w:color="C0C0C0"/>
        <w:bottom w:val="single" w:sz="4" w:space="0" w:color="C0C0C0"/>
        <w:right w:val="single" w:sz="4" w:space="0" w:color="C0C0C0"/>
      </w:pBdr>
      <w:spacing w:before="100" w:beforeAutospacing="1" w:after="100" w:afterAutospacing="1"/>
      <w:ind w:firstLineChars="200" w:firstLine="200"/>
      <w:textAlignment w:val="center"/>
    </w:pPr>
    <w:rPr>
      <w:rFonts w:ascii="Tahoma" w:hAnsi="Tahoma" w:cs="Tahoma"/>
      <w:color w:val="333333"/>
      <w:sz w:val="18"/>
      <w:szCs w:val="18"/>
    </w:rPr>
  </w:style>
  <w:style w:type="paragraph" w:customStyle="1" w:styleId="xl72">
    <w:name w:val="xl72"/>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3">
    <w:name w:val="xl73"/>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rFonts w:ascii="Tahoma" w:hAnsi="Tahoma" w:cs="Tahoma"/>
      <w:color w:val="333333"/>
      <w:sz w:val="18"/>
      <w:szCs w:val="18"/>
    </w:rPr>
  </w:style>
  <w:style w:type="paragraph" w:customStyle="1" w:styleId="xl74">
    <w:name w:val="xl74"/>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600" w:firstLine="600"/>
      <w:textAlignment w:val="center"/>
    </w:pPr>
    <w:rPr>
      <w:rFonts w:ascii="Tahoma" w:hAnsi="Tahoma" w:cs="Tahoma"/>
      <w:color w:val="333333"/>
      <w:sz w:val="18"/>
      <w:szCs w:val="18"/>
    </w:rPr>
  </w:style>
  <w:style w:type="paragraph" w:customStyle="1" w:styleId="xl75">
    <w:name w:val="xl75"/>
    <w:basedOn w:val="a"/>
    <w:rsid w:val="00FA098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800" w:firstLine="800"/>
      <w:textAlignment w:val="center"/>
    </w:pPr>
    <w:rPr>
      <w:rFonts w:ascii="Tahoma" w:hAnsi="Tahoma" w:cs="Tahoma"/>
      <w:color w:val="333333"/>
      <w:sz w:val="18"/>
      <w:szCs w:val="18"/>
    </w:rPr>
  </w:style>
  <w:style w:type="paragraph" w:customStyle="1" w:styleId="xl76">
    <w:name w:val="xl76"/>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77">
    <w:name w:val="xl77"/>
    <w:basedOn w:val="a"/>
    <w:rsid w:val="00FA098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TableParagraph">
    <w:name w:val="Table Paragraph"/>
    <w:basedOn w:val="a"/>
    <w:uiPriority w:val="1"/>
    <w:qFormat/>
    <w:rsid w:val="00510676"/>
    <w:pPr>
      <w:widowControl w:val="0"/>
      <w:autoSpaceDE w:val="0"/>
      <w:autoSpaceDN w:val="0"/>
      <w:spacing w:before="20"/>
      <w:ind w:left="52"/>
    </w:pPr>
    <w:rPr>
      <w:rFonts w:cs="Times New Roman"/>
      <w:sz w:val="22"/>
      <w:szCs w:val="22"/>
      <w:lang w:bidi="ru-RU"/>
    </w:rPr>
  </w:style>
  <w:style w:type="character" w:customStyle="1" w:styleId="wmi-callto">
    <w:name w:val="wmi-callto"/>
    <w:basedOn w:val="a0"/>
    <w:rsid w:val="00461C39"/>
  </w:style>
  <w:style w:type="paragraph" w:styleId="af5">
    <w:name w:val="Body Text"/>
    <w:basedOn w:val="a"/>
    <w:link w:val="af6"/>
    <w:uiPriority w:val="1"/>
    <w:unhideWhenUsed/>
    <w:qFormat/>
    <w:rsid w:val="00C77BE2"/>
    <w:pPr>
      <w:spacing w:after="120"/>
    </w:pPr>
  </w:style>
  <w:style w:type="character" w:customStyle="1" w:styleId="af6">
    <w:name w:val="Основной текст Знак"/>
    <w:basedOn w:val="a0"/>
    <w:link w:val="af5"/>
    <w:uiPriority w:val="99"/>
    <w:semiHidden/>
    <w:rsid w:val="00C77BE2"/>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C77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63">
    <w:name w:val="xl63"/>
    <w:basedOn w:val="a"/>
    <w:rsid w:val="00F36A58"/>
    <w:pPr>
      <w:spacing w:before="100" w:beforeAutospacing="1" w:after="100" w:afterAutospacing="1"/>
      <w:textAlignment w:val="top"/>
    </w:pPr>
    <w:rPr>
      <w:rFonts w:cs="Times New Roman"/>
      <w:sz w:val="16"/>
      <w:szCs w:val="16"/>
    </w:rPr>
  </w:style>
  <w:style w:type="paragraph" w:customStyle="1" w:styleId="xl64">
    <w:name w:val="xl64"/>
    <w:basedOn w:val="a"/>
    <w:rsid w:val="00F36A58"/>
    <w:pPr>
      <w:spacing w:before="100" w:beforeAutospacing="1" w:after="100" w:afterAutospacing="1"/>
      <w:textAlignment w:val="top"/>
    </w:pPr>
    <w:rPr>
      <w:rFonts w:ascii="Tahoma" w:hAnsi="Tahoma" w:cs="Tahoma"/>
      <w:color w:val="C0C0C0"/>
      <w:sz w:val="18"/>
      <w:szCs w:val="18"/>
    </w:rPr>
  </w:style>
  <w:style w:type="paragraph" w:customStyle="1" w:styleId="xl78">
    <w:name w:val="xl78"/>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79">
    <w:name w:val="xl79"/>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0">
    <w:name w:val="xl80"/>
    <w:basedOn w:val="a"/>
    <w:rsid w:val="00F36A58"/>
    <w:pPr>
      <w:pBdr>
        <w:top w:val="single" w:sz="4" w:space="0" w:color="000000"/>
        <w:left w:val="single" w:sz="4" w:space="18" w:color="000000"/>
        <w:bottom w:val="single" w:sz="4" w:space="0" w:color="000000"/>
        <w:right w:val="single" w:sz="4" w:space="0" w:color="000000"/>
      </w:pBdr>
      <w:spacing w:before="100" w:beforeAutospacing="1" w:after="100" w:afterAutospacing="1"/>
      <w:ind w:firstLineChars="200" w:firstLine="200"/>
      <w:textAlignment w:val="center"/>
    </w:pPr>
    <w:rPr>
      <w:rFonts w:ascii="Tahoma" w:hAnsi="Tahoma" w:cs="Tahoma"/>
      <w:sz w:val="18"/>
      <w:szCs w:val="18"/>
    </w:rPr>
  </w:style>
  <w:style w:type="paragraph" w:customStyle="1" w:styleId="xl81">
    <w:name w:val="xl81"/>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2">
    <w:name w:val="xl82"/>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rFonts w:ascii="Tahoma" w:hAnsi="Tahoma" w:cs="Tahoma"/>
      <w:sz w:val="18"/>
      <w:szCs w:val="18"/>
    </w:rPr>
  </w:style>
  <w:style w:type="paragraph" w:customStyle="1" w:styleId="xl83">
    <w:name w:val="xl83"/>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4">
    <w:name w:val="xl84"/>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600" w:firstLine="600"/>
      <w:textAlignment w:val="center"/>
    </w:pPr>
    <w:rPr>
      <w:rFonts w:ascii="Tahoma" w:hAnsi="Tahoma" w:cs="Tahoma"/>
      <w:sz w:val="18"/>
      <w:szCs w:val="18"/>
    </w:rPr>
  </w:style>
  <w:style w:type="paragraph" w:customStyle="1" w:styleId="xl85">
    <w:name w:val="xl85"/>
    <w:basedOn w:val="a"/>
    <w:rsid w:val="00F36A5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800" w:firstLine="800"/>
      <w:textAlignment w:val="center"/>
    </w:pPr>
    <w:rPr>
      <w:rFonts w:ascii="Tahoma" w:hAnsi="Tahoma" w:cs="Tahoma"/>
      <w:sz w:val="18"/>
      <w:szCs w:val="18"/>
    </w:rPr>
  </w:style>
  <w:style w:type="paragraph" w:customStyle="1" w:styleId="xl86">
    <w:name w:val="xl86"/>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7">
    <w:name w:val="xl87"/>
    <w:basedOn w:val="a"/>
    <w:rsid w:val="00F36A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22"/>
      <w:szCs w:val="22"/>
    </w:rPr>
  </w:style>
  <w:style w:type="paragraph" w:customStyle="1" w:styleId="xl88">
    <w:name w:val="xl88"/>
    <w:basedOn w:val="a"/>
    <w:rsid w:val="00F36A58"/>
    <w:pPr>
      <w:spacing w:before="100" w:beforeAutospacing="1" w:after="100" w:afterAutospacing="1"/>
      <w:textAlignment w:val="center"/>
    </w:pPr>
    <w:rPr>
      <w:rFonts w:ascii="Tahoma" w:hAnsi="Tahoma" w:cs="Tahoma"/>
      <w:sz w:val="18"/>
      <w:szCs w:val="18"/>
    </w:rPr>
  </w:style>
  <w:style w:type="paragraph" w:customStyle="1" w:styleId="xl89">
    <w:name w:val="xl89"/>
    <w:basedOn w:val="a"/>
    <w:rsid w:val="00F36A58"/>
    <w:pPr>
      <w:spacing w:before="100" w:beforeAutospacing="1" w:after="100" w:afterAutospacing="1"/>
      <w:textAlignment w:val="top"/>
    </w:pPr>
    <w:rPr>
      <w:rFonts w:ascii="Tahoma" w:hAnsi="Tahoma" w:cs="Tahoma"/>
      <w:sz w:val="28"/>
      <w:szCs w:val="28"/>
    </w:rPr>
  </w:style>
  <w:style w:type="paragraph" w:customStyle="1" w:styleId="xl90">
    <w:name w:val="xl90"/>
    <w:basedOn w:val="a"/>
    <w:rsid w:val="00F36A58"/>
    <w:pPr>
      <w:spacing w:before="100" w:beforeAutospacing="1" w:after="100" w:afterAutospacing="1"/>
      <w:textAlignment w:val="top"/>
    </w:pPr>
    <w:rPr>
      <w:rFonts w:ascii="Tahoma" w:hAnsi="Tahoma" w:cs="Tahoma"/>
      <w:b/>
      <w:bCs/>
    </w:rPr>
  </w:style>
  <w:style w:type="paragraph" w:customStyle="1" w:styleId="xl91">
    <w:name w:val="xl91"/>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paragraph" w:customStyle="1" w:styleId="xl92">
    <w:name w:val="xl92"/>
    <w:basedOn w:val="a"/>
    <w:rsid w:val="004B32C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numbering" w:customStyle="1" w:styleId="1">
    <w:name w:val="Нет списка1"/>
    <w:next w:val="a2"/>
    <w:uiPriority w:val="99"/>
    <w:semiHidden/>
    <w:unhideWhenUsed/>
    <w:rsid w:val="005C0FE0"/>
  </w:style>
  <w:style w:type="numbering" w:customStyle="1" w:styleId="11">
    <w:name w:val="Нет списка11"/>
    <w:next w:val="a2"/>
    <w:uiPriority w:val="99"/>
    <w:semiHidden/>
    <w:unhideWhenUsed/>
    <w:rsid w:val="005C0FE0"/>
  </w:style>
  <w:style w:type="table" w:styleId="af7">
    <w:name w:val="Table Grid"/>
    <w:basedOn w:val="a1"/>
    <w:uiPriority w:val="39"/>
    <w:rsid w:val="005C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CA1FF1"/>
  </w:style>
  <w:style w:type="table" w:customStyle="1" w:styleId="TableNormal1">
    <w:name w:val="Table Normal1"/>
    <w:uiPriority w:val="2"/>
    <w:semiHidden/>
    <w:unhideWhenUsed/>
    <w:qFormat/>
    <w:rsid w:val="00CA1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2"/>
    <w:next w:val="a2"/>
    <w:uiPriority w:val="99"/>
    <w:semiHidden/>
    <w:unhideWhenUsed/>
    <w:rsid w:val="00CA1FF1"/>
  </w:style>
  <w:style w:type="numbering" w:customStyle="1" w:styleId="111">
    <w:name w:val="Нет списка111"/>
    <w:next w:val="a2"/>
    <w:uiPriority w:val="99"/>
    <w:semiHidden/>
    <w:unhideWhenUsed/>
    <w:rsid w:val="00CA1FF1"/>
  </w:style>
  <w:style w:type="table" w:customStyle="1" w:styleId="10">
    <w:name w:val="Сетка таблицы1"/>
    <w:basedOn w:val="a1"/>
    <w:next w:val="af7"/>
    <w:uiPriority w:val="39"/>
    <w:rsid w:val="00CA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A1FF1"/>
    <w:pPr>
      <w:spacing w:before="100" w:beforeAutospacing="1" w:after="100" w:afterAutospacing="1"/>
    </w:pPr>
    <w:rPr>
      <w:rFonts w:ascii="Tahoma" w:hAnsi="Tahoma" w:cs="Tahoma"/>
      <w:color w:val="FF0000"/>
      <w:sz w:val="18"/>
      <w:szCs w:val="18"/>
    </w:rPr>
  </w:style>
  <w:style w:type="paragraph" w:customStyle="1" w:styleId="xl93">
    <w:name w:val="xl93"/>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4">
    <w:name w:val="xl94"/>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5">
    <w:name w:val="xl95"/>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96">
    <w:name w:val="xl96"/>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97">
    <w:name w:val="xl97"/>
    <w:basedOn w:val="a"/>
    <w:rsid w:val="00CA1FF1"/>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98">
    <w:name w:val="xl9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99">
    <w:name w:val="xl99"/>
    <w:basedOn w:val="a"/>
    <w:rsid w:val="00CA1FF1"/>
    <w:pPr>
      <w:pBdr>
        <w:top w:val="single" w:sz="4" w:space="0" w:color="BFBFBF"/>
        <w:left w:val="single" w:sz="4" w:space="0" w:color="auto"/>
        <w:bottom w:val="single" w:sz="4" w:space="0" w:color="BFBFBF"/>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00">
    <w:name w:val="xl100"/>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jc w:val="center"/>
      <w:textAlignment w:val="center"/>
    </w:pPr>
    <w:rPr>
      <w:rFonts w:ascii="Tahoma" w:hAnsi="Tahoma" w:cs="Tahoma"/>
      <w:sz w:val="18"/>
      <w:szCs w:val="18"/>
    </w:rPr>
  </w:style>
  <w:style w:type="paragraph" w:customStyle="1" w:styleId="xl101">
    <w:name w:val="xl101"/>
    <w:basedOn w:val="a"/>
    <w:rsid w:val="00CA1FF1"/>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2">
    <w:name w:val="xl102"/>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3">
    <w:name w:val="xl103"/>
    <w:basedOn w:val="a"/>
    <w:rsid w:val="00CA1FF1"/>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4">
    <w:name w:val="xl104"/>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ahoma" w:hAnsi="Tahoma" w:cs="Tahoma"/>
      <w:sz w:val="16"/>
      <w:szCs w:val="16"/>
    </w:rPr>
  </w:style>
  <w:style w:type="paragraph" w:customStyle="1" w:styleId="xl105">
    <w:name w:val="xl105"/>
    <w:basedOn w:val="a"/>
    <w:rsid w:val="00CA1FF1"/>
    <w:pPr>
      <w:pBdr>
        <w:top w:val="single" w:sz="4" w:space="0" w:color="C0C0C0"/>
        <w:left w:val="single" w:sz="4" w:space="0" w:color="D9D9D9"/>
        <w:bottom w:val="single" w:sz="4" w:space="0" w:color="C0C0C0"/>
        <w:right w:val="single" w:sz="4" w:space="0" w:color="C0C0C0"/>
      </w:pBdr>
      <w:spacing w:before="100" w:beforeAutospacing="1" w:after="100" w:afterAutospacing="1"/>
      <w:jc w:val="center"/>
      <w:textAlignment w:val="center"/>
    </w:pPr>
    <w:rPr>
      <w:rFonts w:ascii="Tahoma" w:hAnsi="Tahoma" w:cs="Tahoma"/>
      <w:color w:val="333333"/>
      <w:sz w:val="18"/>
      <w:szCs w:val="18"/>
    </w:rPr>
  </w:style>
  <w:style w:type="paragraph" w:customStyle="1" w:styleId="xl106">
    <w:name w:val="xl106"/>
    <w:basedOn w:val="a"/>
    <w:rsid w:val="00CA1FF1"/>
    <w:pPr>
      <w:pBdr>
        <w:top w:val="single" w:sz="4" w:space="0" w:color="BFBFBF"/>
        <w:left w:val="single" w:sz="4" w:space="0" w:color="auto"/>
        <w:bottom w:val="single" w:sz="4" w:space="0" w:color="BFBFBF"/>
      </w:pBdr>
      <w:spacing w:before="100" w:beforeAutospacing="1" w:after="100" w:afterAutospacing="1"/>
      <w:textAlignment w:val="center"/>
    </w:pPr>
    <w:rPr>
      <w:rFonts w:ascii="Tahoma" w:hAnsi="Tahoma" w:cs="Tahoma"/>
      <w:sz w:val="18"/>
      <w:szCs w:val="18"/>
    </w:rPr>
  </w:style>
  <w:style w:type="paragraph" w:customStyle="1" w:styleId="xl107">
    <w:name w:val="xl107"/>
    <w:basedOn w:val="a"/>
    <w:rsid w:val="00CA1FF1"/>
    <w:pPr>
      <w:pBdr>
        <w:top w:val="single" w:sz="4" w:space="0" w:color="BFBFBF"/>
        <w:left w:val="single" w:sz="4" w:space="0" w:color="D9D9D9"/>
        <w:bottom w:val="single" w:sz="4" w:space="0" w:color="BFBFBF"/>
        <w:right w:val="single" w:sz="4" w:space="0" w:color="BFBFBF"/>
      </w:pBdr>
      <w:spacing w:before="100" w:beforeAutospacing="1" w:after="100" w:afterAutospacing="1"/>
      <w:jc w:val="center"/>
      <w:textAlignment w:val="center"/>
    </w:pPr>
    <w:rPr>
      <w:rFonts w:ascii="Tahoma" w:hAnsi="Tahoma" w:cs="Tahoma"/>
      <w:sz w:val="18"/>
      <w:szCs w:val="18"/>
    </w:rPr>
  </w:style>
  <w:style w:type="paragraph" w:customStyle="1" w:styleId="xl108">
    <w:name w:val="xl108"/>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09">
    <w:name w:val="xl10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0">
    <w:name w:val="xl110"/>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 w:type="paragraph" w:customStyle="1" w:styleId="xl111">
    <w:name w:val="xl111"/>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2">
    <w:name w:val="xl112"/>
    <w:basedOn w:val="a"/>
    <w:rsid w:val="00CA1FF1"/>
    <w:pPr>
      <w:pBdr>
        <w:top w:val="single" w:sz="4" w:space="0" w:color="D9D9D9"/>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3">
    <w:name w:val="xl113"/>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8"/>
      <w:szCs w:val="18"/>
    </w:rPr>
  </w:style>
  <w:style w:type="paragraph" w:customStyle="1" w:styleId="xl114">
    <w:name w:val="xl114"/>
    <w:basedOn w:val="a"/>
    <w:rsid w:val="00CA1FF1"/>
    <w:pPr>
      <w:pBdr>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5">
    <w:name w:val="xl115"/>
    <w:basedOn w:val="a"/>
    <w:rsid w:val="00CA1FF1"/>
    <w:pPr>
      <w:pBdr>
        <w:top w:val="single" w:sz="4" w:space="0" w:color="BFBFBF"/>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6">
    <w:name w:val="xl116"/>
    <w:basedOn w:val="a"/>
    <w:rsid w:val="00CA1FF1"/>
    <w:pPr>
      <w:pBdr>
        <w:top w:val="single" w:sz="4" w:space="0" w:color="C0C0C0"/>
        <w:left w:val="single" w:sz="4" w:space="0" w:color="C0C0C0"/>
        <w:bottom w:val="single" w:sz="4" w:space="0" w:color="BFBFBF"/>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7">
    <w:name w:val="xl117"/>
    <w:basedOn w:val="a"/>
    <w:rsid w:val="00CA1FF1"/>
    <w:pPr>
      <w:pBdr>
        <w:top w:val="single" w:sz="4" w:space="0" w:color="C0C0C0"/>
        <w:left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18">
    <w:name w:val="xl118"/>
    <w:basedOn w:val="a"/>
    <w:rsid w:val="00CA1FF1"/>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Tahoma" w:hAnsi="Tahoma" w:cs="Tahoma"/>
      <w:color w:val="FF0000"/>
      <w:sz w:val="18"/>
      <w:szCs w:val="18"/>
    </w:rPr>
  </w:style>
  <w:style w:type="paragraph" w:customStyle="1" w:styleId="xl119">
    <w:name w:val="xl119"/>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color w:val="333333"/>
      <w:sz w:val="18"/>
      <w:szCs w:val="18"/>
    </w:rPr>
  </w:style>
  <w:style w:type="paragraph" w:customStyle="1" w:styleId="xl120">
    <w:name w:val="xl120"/>
    <w:basedOn w:val="a"/>
    <w:rsid w:val="00CA1FF1"/>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8"/>
      <w:szCs w:val="18"/>
    </w:rPr>
  </w:style>
  <w:style w:type="paragraph" w:customStyle="1" w:styleId="xl121">
    <w:name w:val="xl121"/>
    <w:basedOn w:val="a"/>
    <w:rsid w:val="00CA1F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ahoma" w:hAnsi="Tahoma" w:cs="Tahoma"/>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2901">
      <w:bodyDiv w:val="1"/>
      <w:marLeft w:val="0"/>
      <w:marRight w:val="0"/>
      <w:marTop w:val="0"/>
      <w:marBottom w:val="0"/>
      <w:divBdr>
        <w:top w:val="none" w:sz="0" w:space="0" w:color="auto"/>
        <w:left w:val="none" w:sz="0" w:space="0" w:color="auto"/>
        <w:bottom w:val="none" w:sz="0" w:space="0" w:color="auto"/>
        <w:right w:val="none" w:sz="0" w:space="0" w:color="auto"/>
      </w:divBdr>
    </w:div>
    <w:div w:id="274754592">
      <w:bodyDiv w:val="1"/>
      <w:marLeft w:val="0"/>
      <w:marRight w:val="0"/>
      <w:marTop w:val="0"/>
      <w:marBottom w:val="0"/>
      <w:divBdr>
        <w:top w:val="none" w:sz="0" w:space="0" w:color="auto"/>
        <w:left w:val="none" w:sz="0" w:space="0" w:color="auto"/>
        <w:bottom w:val="none" w:sz="0" w:space="0" w:color="auto"/>
        <w:right w:val="none" w:sz="0" w:space="0" w:color="auto"/>
      </w:divBdr>
    </w:div>
    <w:div w:id="414595419">
      <w:bodyDiv w:val="1"/>
      <w:marLeft w:val="0"/>
      <w:marRight w:val="0"/>
      <w:marTop w:val="0"/>
      <w:marBottom w:val="0"/>
      <w:divBdr>
        <w:top w:val="none" w:sz="0" w:space="0" w:color="auto"/>
        <w:left w:val="none" w:sz="0" w:space="0" w:color="auto"/>
        <w:bottom w:val="none" w:sz="0" w:space="0" w:color="auto"/>
        <w:right w:val="none" w:sz="0" w:space="0" w:color="auto"/>
      </w:divBdr>
    </w:div>
    <w:div w:id="509295873">
      <w:bodyDiv w:val="1"/>
      <w:marLeft w:val="0"/>
      <w:marRight w:val="0"/>
      <w:marTop w:val="0"/>
      <w:marBottom w:val="0"/>
      <w:divBdr>
        <w:top w:val="none" w:sz="0" w:space="0" w:color="auto"/>
        <w:left w:val="none" w:sz="0" w:space="0" w:color="auto"/>
        <w:bottom w:val="none" w:sz="0" w:space="0" w:color="auto"/>
        <w:right w:val="none" w:sz="0" w:space="0" w:color="auto"/>
      </w:divBdr>
    </w:div>
    <w:div w:id="800659138">
      <w:bodyDiv w:val="1"/>
      <w:marLeft w:val="0"/>
      <w:marRight w:val="0"/>
      <w:marTop w:val="0"/>
      <w:marBottom w:val="0"/>
      <w:divBdr>
        <w:top w:val="none" w:sz="0" w:space="0" w:color="auto"/>
        <w:left w:val="none" w:sz="0" w:space="0" w:color="auto"/>
        <w:bottom w:val="none" w:sz="0" w:space="0" w:color="auto"/>
        <w:right w:val="none" w:sz="0" w:space="0" w:color="auto"/>
      </w:divBdr>
    </w:div>
    <w:div w:id="980500159">
      <w:bodyDiv w:val="1"/>
      <w:marLeft w:val="0"/>
      <w:marRight w:val="0"/>
      <w:marTop w:val="0"/>
      <w:marBottom w:val="0"/>
      <w:divBdr>
        <w:top w:val="none" w:sz="0" w:space="0" w:color="auto"/>
        <w:left w:val="none" w:sz="0" w:space="0" w:color="auto"/>
        <w:bottom w:val="none" w:sz="0" w:space="0" w:color="auto"/>
        <w:right w:val="none" w:sz="0" w:space="0" w:color="auto"/>
      </w:divBdr>
    </w:div>
    <w:div w:id="16241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E98B3-BB93-42C7-AEDB-47A45DBE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25</Pages>
  <Words>8861</Words>
  <Characters>50509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veltsnn</dc:creator>
  <cp:keywords/>
  <dc:description/>
  <cp:lastModifiedBy>Наталья Вельц</cp:lastModifiedBy>
  <cp:revision>14</cp:revision>
  <cp:lastPrinted>2023-10-25T12:58:00Z</cp:lastPrinted>
  <dcterms:created xsi:type="dcterms:W3CDTF">2023-10-24T11:09:00Z</dcterms:created>
  <dcterms:modified xsi:type="dcterms:W3CDTF">2023-10-25T13:51:00Z</dcterms:modified>
</cp:coreProperties>
</file>