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3D0" w:rsidRDefault="00B653D0" w:rsidP="005C18D9">
      <w:pPr>
        <w:pStyle w:val="ConsPlusNonformat"/>
        <w:rPr>
          <w:rFonts w:ascii="Times New Roman" w:hAnsi="Times New Roman" w:cs="Times New Roman"/>
          <w:sz w:val="24"/>
          <w:szCs w:val="24"/>
        </w:rPr>
      </w:pPr>
      <w:bookmarkStart w:id="0" w:name="_GoBack"/>
      <w:bookmarkEnd w:id="0"/>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676156">
        <w:rPr>
          <w:rFonts w:ascii="Times New Roman" w:hAnsi="Times New Roman" w:cs="Times New Roman"/>
          <w:sz w:val="24"/>
          <w:szCs w:val="24"/>
        </w:rPr>
        <w:t xml:space="preserve"> № 7</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D074C">
              <w:rPr>
                <w:rFonts w:ascii="Times New Roman" w:hAnsi="Times New Roman" w:cs="Times New Roman"/>
                <w:szCs w:val="22"/>
              </w:rPr>
              <w:t>от 12.04.2023 № 450</w:t>
            </w:r>
            <w:r w:rsidR="003F0BE4">
              <w:rPr>
                <w:rFonts w:ascii="Times New Roman" w:hAnsi="Times New Roman" w:cs="Times New Roman"/>
                <w:szCs w:val="22"/>
              </w:rPr>
              <w:t>/4</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0462AF"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B50E89">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676156" w:rsidP="001F1C0B">
            <w:pPr>
              <w:pStyle w:val="ConsPlusNormal"/>
              <w:rPr>
                <w:rFonts w:ascii="Times New Roman" w:hAnsi="Times New Roman" w:cs="Times New Roman"/>
                <w:szCs w:val="22"/>
              </w:rPr>
            </w:pPr>
            <w:r>
              <w:rPr>
                <w:rFonts w:ascii="Times New Roman" w:hAnsi="Times New Roman" w:cs="Times New Roman"/>
                <w:szCs w:val="22"/>
              </w:rPr>
              <w:t>"10" июля</w:t>
            </w:r>
            <w:r w:rsidR="00235CA8">
              <w:rPr>
                <w:rFonts w:ascii="Times New Roman" w:hAnsi="Times New Roman" w:cs="Times New Roman"/>
                <w:szCs w:val="22"/>
              </w:rPr>
              <w:t xml:space="preserve">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676156">
              <w:rPr>
                <w:rFonts w:ascii="Times New Roman" w:hAnsi="Times New Roman" w:cs="Times New Roman"/>
                <w:szCs w:val="22"/>
              </w:rPr>
              <w:t>07" августа</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 xml:space="preserve">тов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r w:rsidR="000462AF">
              <w:rPr>
                <w:rStyle w:val="a5"/>
                <w:rFonts w:ascii="Times New Roman" w:hAnsi="Times New Roman" w:cs="Times New Roman"/>
                <w:spacing w:val="1"/>
                <w:szCs w:val="22"/>
                <w:lang w:val="en-US"/>
              </w:rPr>
              <w:fldChar w:fldCharType="begin"/>
            </w:r>
            <w:r w:rsidR="000462AF" w:rsidRPr="000462AF">
              <w:rPr>
                <w:rStyle w:val="a5"/>
                <w:rFonts w:ascii="Times New Roman" w:hAnsi="Times New Roman" w:cs="Times New Roman"/>
                <w:spacing w:val="1"/>
                <w:szCs w:val="22"/>
              </w:rPr>
              <w:instrText xml:space="preserve"> </w:instrText>
            </w:r>
            <w:r w:rsidR="000462AF">
              <w:rPr>
                <w:rStyle w:val="a5"/>
                <w:rFonts w:ascii="Times New Roman" w:hAnsi="Times New Roman" w:cs="Times New Roman"/>
                <w:spacing w:val="1"/>
                <w:szCs w:val="22"/>
                <w:lang w:val="en-US"/>
              </w:rPr>
              <w:instrText>HYPERLINK</w:instrText>
            </w:r>
            <w:r w:rsidR="000462AF" w:rsidRPr="000462AF">
              <w:rPr>
                <w:rStyle w:val="a5"/>
                <w:rFonts w:ascii="Times New Roman" w:hAnsi="Times New Roman" w:cs="Times New Roman"/>
                <w:spacing w:val="1"/>
                <w:szCs w:val="22"/>
              </w:rPr>
              <w:instrText xml:space="preserve"> "</w:instrText>
            </w:r>
            <w:r w:rsidR="000462AF">
              <w:rPr>
                <w:rStyle w:val="a5"/>
                <w:rFonts w:ascii="Times New Roman" w:hAnsi="Times New Roman" w:cs="Times New Roman"/>
                <w:spacing w:val="1"/>
                <w:szCs w:val="22"/>
                <w:lang w:val="en-US"/>
              </w:rPr>
              <w:instrText>http</w:instrText>
            </w:r>
            <w:r w:rsidR="000462AF" w:rsidRPr="000462AF">
              <w:rPr>
                <w:rStyle w:val="a5"/>
                <w:rFonts w:ascii="Times New Roman" w:hAnsi="Times New Roman" w:cs="Times New Roman"/>
                <w:spacing w:val="1"/>
                <w:szCs w:val="22"/>
              </w:rPr>
              <w:instrText>://</w:instrText>
            </w:r>
            <w:r w:rsidR="000462AF">
              <w:rPr>
                <w:rStyle w:val="a5"/>
                <w:rFonts w:ascii="Times New Roman" w:hAnsi="Times New Roman" w:cs="Times New Roman"/>
                <w:spacing w:val="1"/>
                <w:szCs w:val="22"/>
                <w:lang w:val="en-US"/>
              </w:rPr>
              <w:instrText>www</w:instrText>
            </w:r>
            <w:r w:rsidR="000462AF" w:rsidRPr="000462AF">
              <w:rPr>
                <w:rStyle w:val="a5"/>
                <w:rFonts w:ascii="Times New Roman" w:hAnsi="Times New Roman" w:cs="Times New Roman"/>
                <w:spacing w:val="1"/>
                <w:szCs w:val="22"/>
              </w:rPr>
              <w:instrText>.е</w:instrText>
            </w:r>
            <w:r w:rsidR="000462AF">
              <w:rPr>
                <w:rStyle w:val="a5"/>
                <w:rFonts w:ascii="Times New Roman" w:hAnsi="Times New Roman" w:cs="Times New Roman"/>
                <w:spacing w:val="1"/>
                <w:szCs w:val="22"/>
                <w:lang w:val="en-US"/>
              </w:rPr>
              <w:instrText>le</w:instrText>
            </w:r>
            <w:r w:rsidR="000462AF" w:rsidRPr="000462AF">
              <w:rPr>
                <w:rStyle w:val="a5"/>
                <w:rFonts w:ascii="Times New Roman" w:hAnsi="Times New Roman" w:cs="Times New Roman"/>
                <w:spacing w:val="1"/>
                <w:szCs w:val="22"/>
              </w:rPr>
              <w:instrText>с</w:instrText>
            </w:r>
            <w:r w:rsidR="000462AF">
              <w:rPr>
                <w:rStyle w:val="a5"/>
                <w:rFonts w:ascii="Times New Roman" w:hAnsi="Times New Roman" w:cs="Times New Roman"/>
                <w:spacing w:val="1"/>
                <w:szCs w:val="22"/>
                <w:lang w:val="en-US"/>
              </w:rPr>
              <w:instrText>tr</w:instrText>
            </w:r>
            <w:r w:rsidR="000462AF" w:rsidRPr="000462AF">
              <w:rPr>
                <w:rStyle w:val="a5"/>
                <w:rFonts w:ascii="Times New Roman" w:hAnsi="Times New Roman" w:cs="Times New Roman"/>
                <w:spacing w:val="1"/>
                <w:szCs w:val="22"/>
              </w:rPr>
              <w:instrText>о</w:instrText>
            </w:r>
            <w:r w:rsidR="000462AF">
              <w:rPr>
                <w:rStyle w:val="a5"/>
                <w:rFonts w:ascii="Times New Roman" w:hAnsi="Times New Roman" w:cs="Times New Roman"/>
                <w:spacing w:val="1"/>
                <w:szCs w:val="22"/>
                <w:lang w:val="en-US"/>
              </w:rPr>
              <w:instrText>st</w:instrText>
            </w:r>
            <w:r w:rsidR="000462AF" w:rsidRPr="000462AF">
              <w:rPr>
                <w:rStyle w:val="a5"/>
                <w:rFonts w:ascii="Times New Roman" w:hAnsi="Times New Roman" w:cs="Times New Roman"/>
                <w:spacing w:val="1"/>
                <w:szCs w:val="22"/>
              </w:rPr>
              <w:instrText>а</w:instrText>
            </w:r>
            <w:r w:rsidR="000462AF">
              <w:rPr>
                <w:rStyle w:val="a5"/>
                <w:rFonts w:ascii="Times New Roman" w:hAnsi="Times New Roman" w:cs="Times New Roman"/>
                <w:spacing w:val="1"/>
                <w:szCs w:val="22"/>
                <w:lang w:val="en-US"/>
              </w:rPr>
              <w:instrText>l</w:instrText>
            </w:r>
            <w:r w:rsidR="000462AF" w:rsidRPr="000462AF">
              <w:rPr>
                <w:rStyle w:val="a5"/>
                <w:rFonts w:ascii="Times New Roman" w:hAnsi="Times New Roman" w:cs="Times New Roman"/>
                <w:spacing w:val="1"/>
                <w:szCs w:val="22"/>
              </w:rPr>
              <w:instrText>.</w:instrText>
            </w:r>
            <w:r w:rsidR="000462AF">
              <w:rPr>
                <w:rStyle w:val="a5"/>
                <w:rFonts w:ascii="Times New Roman" w:hAnsi="Times New Roman" w:cs="Times New Roman"/>
                <w:spacing w:val="1"/>
                <w:szCs w:val="22"/>
                <w:lang w:val="en-US"/>
              </w:rPr>
              <w:instrText>ru</w:instrText>
            </w:r>
            <w:r w:rsidR="000462AF" w:rsidRPr="000462AF">
              <w:rPr>
                <w:rStyle w:val="a5"/>
                <w:rFonts w:ascii="Times New Roman" w:hAnsi="Times New Roman" w:cs="Times New Roman"/>
                <w:spacing w:val="1"/>
                <w:szCs w:val="22"/>
              </w:rPr>
              <w:instrText xml:space="preserve">" </w:instrText>
            </w:r>
            <w:r w:rsidR="000462AF">
              <w:rPr>
                <w:rStyle w:val="a5"/>
                <w:rFonts w:ascii="Times New Roman" w:hAnsi="Times New Roman" w:cs="Times New Roman"/>
                <w:spacing w:val="1"/>
                <w:szCs w:val="22"/>
                <w:lang w:val="en-US"/>
              </w:rPr>
              <w:fldChar w:fldCharType="separate"/>
            </w:r>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r w:rsidR="000462AF">
              <w:rPr>
                <w:rStyle w:val="a5"/>
                <w:rFonts w:ascii="Times New Roman" w:hAnsi="Times New Roman" w:cs="Times New Roman"/>
                <w:spacing w:val="1"/>
                <w:szCs w:val="22"/>
                <w:lang w:val="en-US"/>
              </w:rPr>
              <w:fldChar w:fldCharType="end"/>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676156" w:rsidP="001F1C0B">
            <w:pPr>
              <w:pStyle w:val="ConsPlusNormal"/>
              <w:rPr>
                <w:rFonts w:ascii="Times New Roman" w:hAnsi="Times New Roman" w:cs="Times New Roman"/>
                <w:szCs w:val="22"/>
              </w:rPr>
            </w:pPr>
            <w:r>
              <w:rPr>
                <w:rFonts w:ascii="Times New Roman" w:hAnsi="Times New Roman" w:cs="Times New Roman"/>
                <w:szCs w:val="22"/>
              </w:rPr>
              <w:t>"03" августа</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Срок, в течение которого организатор аукциона вправе внести изменения </w:t>
            </w:r>
            <w:r w:rsidRPr="003918F1">
              <w:rPr>
                <w:rFonts w:ascii="Times New Roman" w:hAnsi="Times New Roman" w:cs="Times New Roman"/>
                <w:szCs w:val="22"/>
              </w:rPr>
              <w:lastRenderedPageBreak/>
              <w:t>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lastRenderedPageBreak/>
              <w:t xml:space="preserve">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w:t>
            </w:r>
            <w:r w:rsidRPr="003918F1">
              <w:rPr>
                <w:rFonts w:ascii="Times New Roman" w:hAnsi="Times New Roman" w:cs="Times New Roman"/>
                <w:szCs w:val="22"/>
              </w:rPr>
              <w:lastRenderedPageBreak/>
              <w:t>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676156" w:rsidP="001F1C0B">
            <w:pPr>
              <w:pStyle w:val="ConsPlusNormal"/>
              <w:rPr>
                <w:rFonts w:ascii="Times New Roman" w:hAnsi="Times New Roman" w:cs="Times New Roman"/>
                <w:szCs w:val="22"/>
              </w:rPr>
            </w:pPr>
            <w:r>
              <w:rPr>
                <w:rFonts w:ascii="Times New Roman" w:hAnsi="Times New Roman" w:cs="Times New Roman"/>
                <w:szCs w:val="22"/>
              </w:rPr>
              <w:t>"03" августа</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12.</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Мира, у дома № 25</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13.</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2</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пр-т Ленина, у дома № 30</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14.</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3</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Западная, у дома № 1</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15.</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4</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xml:space="preserve">. Электросталь, ул. </w:t>
            </w:r>
            <w:proofErr w:type="spellStart"/>
            <w:r w:rsidRPr="009A59E0">
              <w:rPr>
                <w:rFonts w:ascii="Times New Roman" w:hAnsi="Times New Roman" w:cs="Times New Roman"/>
                <w:b/>
                <w:szCs w:val="22"/>
              </w:rPr>
              <w:t>Корешкова</w:t>
            </w:r>
            <w:proofErr w:type="spellEnd"/>
            <w:r w:rsidRPr="009A59E0">
              <w:rPr>
                <w:rFonts w:ascii="Times New Roman" w:hAnsi="Times New Roman" w:cs="Times New Roman"/>
                <w:b/>
                <w:szCs w:val="22"/>
              </w:rPr>
              <w:t>, у дома № 12/47</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16.</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5</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xml:space="preserve">. Электросталь, ул. </w:t>
            </w:r>
            <w:proofErr w:type="spellStart"/>
            <w:r w:rsidRPr="009A59E0">
              <w:rPr>
                <w:rFonts w:ascii="Times New Roman" w:hAnsi="Times New Roman" w:cs="Times New Roman"/>
                <w:b/>
                <w:szCs w:val="22"/>
              </w:rPr>
              <w:t>Тевосяна</w:t>
            </w:r>
            <w:proofErr w:type="spellEnd"/>
            <w:r w:rsidRPr="009A59E0">
              <w:rPr>
                <w:rFonts w:ascii="Times New Roman" w:hAnsi="Times New Roman" w:cs="Times New Roman"/>
                <w:b/>
                <w:szCs w:val="22"/>
              </w:rPr>
              <w:t>, у магазина «АТАК»</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17.</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6</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Карла Маркса, у дома № 26</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18.</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7</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Мира, у дома № 22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19.</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8</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пр-т Ленина, у дома № 16</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20.</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9</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Победы, в районе дома № 22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21.</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10</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Карла Маркса, у дома № 42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22.</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11</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Карла Маркса, у магазина «Центральный»</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23.</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12</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области,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пр-т Ленина, напротив дома № 04.</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 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24.</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13</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области, </w:t>
            </w:r>
            <w:proofErr w:type="spellStart"/>
            <w:r w:rsidRPr="009A59E0">
              <w:rPr>
                <w:rFonts w:ascii="Times New Roman" w:hAnsi="Times New Roman" w:cs="Times New Roman"/>
                <w:b/>
                <w:szCs w:val="22"/>
              </w:rPr>
              <w:t>г.о</w:t>
            </w:r>
            <w:proofErr w:type="spellEnd"/>
            <w:r w:rsidRPr="009A59E0">
              <w:rPr>
                <w:rFonts w:ascii="Times New Roman" w:hAnsi="Times New Roman" w:cs="Times New Roman"/>
                <w:b/>
                <w:szCs w:val="22"/>
              </w:rPr>
              <w:t>. Электросталь, ул. Пушкина, у дома № 25.</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 Специализация – «квас»</w:t>
            </w:r>
            <w:r>
              <w:rPr>
                <w:rFonts w:ascii="Times New Roman" w:hAnsi="Times New Roman" w:cs="Times New Roman"/>
                <w:b/>
                <w:szCs w:val="22"/>
              </w:rPr>
              <w:t>, вид объекта «киоск»</w:t>
            </w: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25</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195156">
              <w:rPr>
                <w:rFonts w:ascii="Times New Roman" w:hAnsi="Times New Roman" w:cs="Times New Roman"/>
                <w:b/>
                <w:szCs w:val="22"/>
              </w:rPr>
              <w:t>3400 (три тысячи четыреста</w:t>
            </w:r>
            <w:r>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26</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195156">
              <w:rPr>
                <w:rFonts w:ascii="Times New Roman" w:hAnsi="Times New Roman" w:cs="Times New Roman"/>
                <w:b/>
                <w:szCs w:val="22"/>
              </w:rPr>
              <w:t>170 (сто семьдесят</w:t>
            </w:r>
            <w:r>
              <w:rPr>
                <w:rFonts w:ascii="Times New Roman" w:hAnsi="Times New Roman" w:cs="Times New Roman"/>
                <w:b/>
                <w:szCs w:val="22"/>
              </w:rPr>
              <w:t>)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272671" w:rsidRPr="002E5361" w:rsidRDefault="00272671" w:rsidP="00272671">
            <w:pPr>
              <w:pStyle w:val="ConsPlusNormal"/>
              <w:rPr>
                <w:rFonts w:ascii="Times New Roman" w:hAnsi="Times New Roman" w:cs="Times New Roman"/>
                <w:b/>
                <w:color w:val="000000"/>
                <w:spacing w:val="8"/>
                <w:szCs w:val="22"/>
              </w:rPr>
            </w:pP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27</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72671" w:rsidRDefault="00272671" w:rsidP="00272671">
            <w:pPr>
              <w:pStyle w:val="ConsPlusNormal"/>
              <w:rPr>
                <w:rFonts w:ascii="Times New Roman" w:hAnsi="Times New Roman" w:cs="Times New Roman"/>
                <w:szCs w:val="22"/>
              </w:rPr>
            </w:pPr>
          </w:p>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272671" w:rsidRPr="003918F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195156">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72671" w:rsidRPr="003918F1" w:rsidRDefault="00272671" w:rsidP="00272671">
            <w:pPr>
              <w:pStyle w:val="ConsPlusNormal"/>
              <w:rPr>
                <w:rFonts w:ascii="Times New Roman" w:hAnsi="Times New Roman" w:cs="Times New Roman"/>
                <w:szCs w:val="22"/>
              </w:rPr>
            </w:pPr>
          </w:p>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5C18D9" w:rsidP="00DA56FC">
            <w:pPr>
              <w:pStyle w:val="ConsPlusNormal"/>
              <w:rPr>
                <w:rFonts w:ascii="Times New Roman" w:hAnsi="Times New Roman" w:cs="Times New Roman"/>
                <w:szCs w:val="22"/>
              </w:rPr>
            </w:pPr>
            <w:r>
              <w:rPr>
                <w:rFonts w:ascii="Times New Roman" w:hAnsi="Times New Roman" w:cs="Times New Roman"/>
                <w:szCs w:val="22"/>
              </w:rPr>
              <w:t>28</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29</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676156" w:rsidP="003918F1">
                  <w:pPr>
                    <w:pStyle w:val="ConsPlusNormal"/>
                    <w:rPr>
                      <w:rFonts w:ascii="Times New Roman" w:hAnsi="Times New Roman" w:cs="Times New Roman"/>
                      <w:b/>
                      <w:szCs w:val="22"/>
                    </w:rPr>
                  </w:pPr>
                  <w:r>
                    <w:rPr>
                      <w:rFonts w:ascii="Times New Roman" w:hAnsi="Times New Roman" w:cs="Times New Roman"/>
                      <w:b/>
                      <w:szCs w:val="22"/>
                    </w:rPr>
                    <w:t>"08"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r w:rsidR="003918F1" w:rsidRPr="003918F1" w:rsidTr="00676156">
              <w:trPr>
                <w:trHeight w:val="249"/>
              </w:trPr>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676156" w:rsidP="003918F1">
                  <w:pPr>
                    <w:pStyle w:val="ConsPlusNormal"/>
                    <w:rPr>
                      <w:rFonts w:ascii="Times New Roman" w:hAnsi="Times New Roman" w:cs="Times New Roman"/>
                      <w:b/>
                      <w:szCs w:val="22"/>
                    </w:rPr>
                  </w:pPr>
                  <w:r>
                    <w:rPr>
                      <w:rFonts w:ascii="Times New Roman" w:hAnsi="Times New Roman" w:cs="Times New Roman"/>
                      <w:b/>
                      <w:szCs w:val="22"/>
                    </w:rPr>
                    <w:t>"08" августа</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5C18D9" w:rsidP="00E40421">
            <w:pPr>
              <w:pStyle w:val="ConsPlusNormal"/>
              <w:rPr>
                <w:rFonts w:ascii="Times New Roman" w:hAnsi="Times New Roman" w:cs="Times New Roman"/>
                <w:szCs w:val="22"/>
              </w:rPr>
            </w:pPr>
            <w:r>
              <w:rPr>
                <w:rFonts w:ascii="Times New Roman" w:hAnsi="Times New Roman" w:cs="Times New Roman"/>
                <w:szCs w:val="22"/>
              </w:rPr>
              <w:t>30</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676156" w:rsidP="00E40421">
            <w:pPr>
              <w:pStyle w:val="ConsPlusNormal"/>
              <w:rPr>
                <w:rFonts w:ascii="Times New Roman" w:hAnsi="Times New Roman" w:cs="Times New Roman"/>
                <w:szCs w:val="22"/>
              </w:rPr>
            </w:pPr>
            <w:r>
              <w:rPr>
                <w:rFonts w:ascii="Times New Roman" w:hAnsi="Times New Roman" w:cs="Times New Roman"/>
                <w:b/>
                <w:szCs w:val="22"/>
              </w:rPr>
              <w:t>"09" августа</w:t>
            </w:r>
            <w:r w:rsidR="001371AA">
              <w:rPr>
                <w:rFonts w:ascii="Times New Roman" w:hAnsi="Times New Roman" w:cs="Times New Roman"/>
                <w:b/>
                <w:szCs w:val="22"/>
              </w:rPr>
              <w:t xml:space="preserve">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35</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7"/>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195156" w:rsidRPr="006F03DF" w:rsidRDefault="00195156" w:rsidP="00195156">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95156" w:rsidRDefault="00195156" w:rsidP="0019515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5156" w:rsidRPr="006F03DF" w:rsidRDefault="00195156" w:rsidP="00195156">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5156" w:rsidRPr="006C7229" w:rsidTr="00AF5591">
        <w:trPr>
          <w:trHeight w:val="2514"/>
        </w:trPr>
        <w:tc>
          <w:tcPr>
            <w:tcW w:w="442"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Pr>
                <w:rFonts w:ascii="Times New Roman" w:hAnsi="Times New Roman" w:cs="Times New Roman"/>
                <w:szCs w:val="22"/>
              </w:rPr>
              <w:t>договора (цена лота) без НДС</w:t>
            </w:r>
          </w:p>
        </w:tc>
      </w:tr>
      <w:tr w:rsidR="00195156" w:rsidRPr="006C7229" w:rsidTr="00AF5591">
        <w:tc>
          <w:tcPr>
            <w:tcW w:w="442"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5156" w:rsidRPr="006C7229" w:rsidTr="00AF5591">
        <w:tc>
          <w:tcPr>
            <w:tcW w:w="442" w:type="dxa"/>
          </w:tcPr>
          <w:p w:rsidR="00195156" w:rsidRPr="00170E6B" w:rsidRDefault="00195156" w:rsidP="00AF5591">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szCs w:val="22"/>
              </w:rPr>
              <w:t xml:space="preserve">Московская область, </w:t>
            </w:r>
            <w:proofErr w:type="spellStart"/>
            <w:r w:rsidRPr="00CA7307">
              <w:rPr>
                <w:rFonts w:ascii="Times New Roman" w:hAnsi="Times New Roman" w:cs="Times New Roman"/>
                <w:color w:val="000000"/>
                <w:spacing w:val="8"/>
                <w:szCs w:val="22"/>
              </w:rPr>
              <w:t>г.о</w:t>
            </w:r>
            <w:proofErr w:type="spellEnd"/>
            <w:r w:rsidRPr="00CA7307">
              <w:rPr>
                <w:rFonts w:ascii="Times New Roman" w:hAnsi="Times New Roman" w:cs="Times New Roman"/>
                <w:color w:val="000000"/>
                <w:spacing w:val="8"/>
                <w:szCs w:val="22"/>
              </w:rPr>
              <w:t>. Электросталь, ул. Мира, у дома № 25</w:t>
            </w:r>
          </w:p>
          <w:p w:rsidR="00195156" w:rsidRPr="003D0DB0" w:rsidRDefault="00195156" w:rsidP="00AF5591">
            <w:pPr>
              <w:pStyle w:val="ConsPlusNormal"/>
              <w:rPr>
                <w:rFonts w:ascii="Times New Roman" w:hAnsi="Times New Roman" w:cs="Times New Roman"/>
                <w:color w:val="000000"/>
                <w:spacing w:val="8"/>
                <w:szCs w:val="22"/>
              </w:rPr>
            </w:pPr>
          </w:p>
          <w:p w:rsidR="00195156" w:rsidRPr="007F1960" w:rsidRDefault="00195156" w:rsidP="00AF5591">
            <w:pPr>
              <w:pStyle w:val="ConsPlusNormal"/>
              <w:rPr>
                <w:rFonts w:ascii="Times New Roman" w:hAnsi="Times New Roman" w:cs="Times New Roman"/>
                <w:color w:val="000000"/>
                <w:spacing w:val="8"/>
                <w:szCs w:val="22"/>
              </w:rPr>
            </w:pPr>
          </w:p>
          <w:p w:rsidR="00195156" w:rsidRPr="007455C3" w:rsidRDefault="00195156" w:rsidP="00AF5591">
            <w:pPr>
              <w:pStyle w:val="ConsPlusNormal"/>
              <w:rPr>
                <w:rFonts w:ascii="Times New Roman" w:hAnsi="Times New Roman" w:cs="Times New Roman"/>
                <w:szCs w:val="22"/>
              </w:rPr>
            </w:pPr>
          </w:p>
        </w:tc>
        <w:tc>
          <w:tcPr>
            <w:tcW w:w="1559"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66</w:t>
            </w:r>
          </w:p>
        </w:tc>
        <w:tc>
          <w:tcPr>
            <w:tcW w:w="5103"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Pr="00170E6B"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Электросталь, пр-т Ленина, у дома № 30</w:t>
            </w:r>
          </w:p>
          <w:p w:rsidR="00195156" w:rsidRPr="00CA7307" w:rsidRDefault="00195156" w:rsidP="00AF5591">
            <w:pPr>
              <w:pStyle w:val="ConsPlusNormal"/>
              <w:rPr>
                <w:rFonts w:ascii="Times New Roman" w:hAnsi="Times New Roman" w:cs="Times New Roman"/>
                <w:color w:val="000000"/>
                <w:spacing w:val="8"/>
                <w:szCs w:val="22"/>
              </w:rPr>
            </w:pP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67</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 xml:space="preserve">Московская область, </w:t>
            </w:r>
            <w:proofErr w:type="spellStart"/>
            <w:r w:rsidRPr="00CA7307">
              <w:rPr>
                <w:rFonts w:ascii="Times New Roman" w:hAnsi="Times New Roman" w:cs="Times New Roman"/>
                <w:color w:val="000000"/>
                <w:spacing w:val="8"/>
              </w:rPr>
              <w:t>г.о</w:t>
            </w:r>
            <w:proofErr w:type="spellEnd"/>
            <w:r w:rsidRPr="00CA7307">
              <w:rPr>
                <w:rFonts w:ascii="Times New Roman" w:hAnsi="Times New Roman" w:cs="Times New Roman"/>
                <w:color w:val="000000"/>
                <w:spacing w:val="8"/>
              </w:rPr>
              <w:t>. Электр</w:t>
            </w:r>
            <w:r>
              <w:rPr>
                <w:rFonts w:ascii="Times New Roman" w:hAnsi="Times New Roman" w:cs="Times New Roman"/>
                <w:color w:val="000000"/>
                <w:spacing w:val="8"/>
              </w:rPr>
              <w:t>осталь, ул. Западная, у дома № 1</w:t>
            </w:r>
          </w:p>
          <w:p w:rsidR="00195156" w:rsidRPr="00CA7307" w:rsidRDefault="00195156" w:rsidP="00AF5591">
            <w:pPr>
              <w:pStyle w:val="ConsPlusNormal"/>
              <w:rPr>
                <w:rFonts w:ascii="Times New Roman" w:hAnsi="Times New Roman" w:cs="Times New Roman"/>
                <w:color w:val="000000"/>
                <w:spacing w:val="8"/>
                <w:szCs w:val="22"/>
              </w:rPr>
            </w:pP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68</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Arial"/>
                <w:color w:val="000000"/>
                <w:spacing w:val="8"/>
                <w:szCs w:val="22"/>
              </w:rPr>
              <w:t xml:space="preserve">Московская область, </w:t>
            </w:r>
            <w:proofErr w:type="spellStart"/>
            <w:r w:rsidRPr="00BE2D0E">
              <w:rPr>
                <w:rFonts w:ascii="Times New Roman" w:hAnsi="Times New Roman" w:cs="Arial"/>
                <w:color w:val="000000"/>
                <w:spacing w:val="8"/>
                <w:szCs w:val="22"/>
              </w:rPr>
              <w:t>г.о</w:t>
            </w:r>
            <w:proofErr w:type="spellEnd"/>
            <w:r w:rsidRPr="00BE2D0E">
              <w:rPr>
                <w:rFonts w:ascii="Times New Roman" w:hAnsi="Times New Roman" w:cs="Arial"/>
                <w:color w:val="000000"/>
                <w:spacing w:val="8"/>
                <w:szCs w:val="22"/>
              </w:rPr>
              <w:t xml:space="preserve">. Электросталь, ул. </w:t>
            </w:r>
            <w:proofErr w:type="spellStart"/>
            <w:r w:rsidRPr="00BE2D0E">
              <w:rPr>
                <w:rFonts w:ascii="Times New Roman" w:hAnsi="Times New Roman" w:cs="Arial"/>
                <w:color w:val="000000"/>
                <w:spacing w:val="8"/>
                <w:szCs w:val="22"/>
              </w:rPr>
              <w:t>Корешкова</w:t>
            </w:r>
            <w:proofErr w:type="spellEnd"/>
            <w:r w:rsidRPr="00BE2D0E">
              <w:rPr>
                <w:rFonts w:ascii="Times New Roman" w:hAnsi="Times New Roman" w:cs="Arial"/>
                <w:color w:val="000000"/>
                <w:spacing w:val="8"/>
                <w:szCs w:val="22"/>
              </w:rPr>
              <w:t>, у дома № 12/47</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69</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ул. </w:t>
            </w:r>
            <w:proofErr w:type="spellStart"/>
            <w:r w:rsidRPr="00BE2D0E">
              <w:rPr>
                <w:rFonts w:ascii="Times New Roman" w:hAnsi="Times New Roman" w:cs="Times New Roman"/>
                <w:color w:val="000000"/>
                <w:spacing w:val="8"/>
              </w:rPr>
              <w:t>Тевосяна</w:t>
            </w:r>
            <w:proofErr w:type="spellEnd"/>
            <w:r w:rsidRPr="00BE2D0E">
              <w:rPr>
                <w:rFonts w:ascii="Times New Roman" w:hAnsi="Times New Roman" w:cs="Times New Roman"/>
                <w:color w:val="000000"/>
                <w:spacing w:val="8"/>
              </w:rPr>
              <w:t>, у магазина «АТАК»</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70</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26</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71</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Мира, у дома № 22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72</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у дома № 16</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73</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Победы, в районе дома № 22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74</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дома № 42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75</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ул. Карла Маркса, у магазина «Центральный»</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76</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12</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пр-т Ленина, напротив дома № 04</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77</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13</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rPr>
              <w:t xml:space="preserve">Московская область, </w:t>
            </w:r>
            <w:proofErr w:type="spellStart"/>
            <w:r w:rsidRPr="00BE2D0E">
              <w:rPr>
                <w:rFonts w:ascii="Times New Roman" w:hAnsi="Times New Roman" w:cs="Times New Roman"/>
              </w:rPr>
              <w:t>г.о</w:t>
            </w:r>
            <w:proofErr w:type="spellEnd"/>
            <w:r w:rsidRPr="00BE2D0E">
              <w:rPr>
                <w:rFonts w:ascii="Times New Roman" w:hAnsi="Times New Roman" w:cs="Times New Roman"/>
              </w:rPr>
              <w:t>. Электросталь, ул. Пушкина, у дома № 25</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78</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195156" w:rsidRPr="00C443B7" w:rsidRDefault="00552E41" w:rsidP="00AF5591">
            <w:pPr>
              <w:pStyle w:val="ConsPlusNormal"/>
              <w:rPr>
                <w:rFonts w:ascii="Times New Roman" w:hAnsi="Times New Roman" w:cs="Times New Roman"/>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 </w:t>
            </w:r>
            <w:r>
              <w:rPr>
                <w:rFonts w:ascii="Times New Roman" w:hAnsi="Times New Roman" w:cs="Times New Roman"/>
                <w:b/>
                <w:szCs w:val="22"/>
              </w:rPr>
              <w:t>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 </w:t>
            </w:r>
            <w:r>
              <w:rPr>
                <w:rFonts w:ascii="Times New Roman" w:hAnsi="Times New Roman" w:cs="Times New Roman"/>
                <w:b/>
                <w:szCs w:val="22"/>
              </w:rPr>
              <w:t>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w:t>
            </w:r>
            <w:r>
              <w:rPr>
                <w:rFonts w:ascii="Times New Roman" w:hAnsi="Times New Roman" w:cs="Times New Roman"/>
                <w:b/>
                <w:szCs w:val="22"/>
              </w:rPr>
              <w:t xml:space="preserve">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13</w:t>
            </w:r>
          </w:p>
        </w:tc>
        <w:tc>
          <w:tcPr>
            <w:tcW w:w="8469" w:type="dxa"/>
          </w:tcPr>
          <w:p w:rsidR="00195156"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Default="007C021D" w:rsidP="001C0260">
      <w:pPr>
        <w:pStyle w:val="ConsPlusNormal"/>
        <w:outlineLvl w:val="2"/>
        <w:rPr>
          <w:rFonts w:ascii="Times New Roman" w:hAnsi="Times New Roman" w:cs="Times New Roman"/>
          <w:sz w:val="24"/>
          <w:szCs w:val="24"/>
        </w:rPr>
      </w:pPr>
    </w:p>
    <w:p w:rsidR="00676156" w:rsidRDefault="00676156" w:rsidP="001C0260">
      <w:pPr>
        <w:pStyle w:val="ConsPlusNormal"/>
        <w:outlineLvl w:val="2"/>
        <w:rPr>
          <w:rFonts w:ascii="Times New Roman" w:hAnsi="Times New Roman" w:cs="Times New Roman"/>
          <w:sz w:val="24"/>
          <w:szCs w:val="24"/>
        </w:rPr>
      </w:pPr>
    </w:p>
    <w:p w:rsidR="00676156" w:rsidRDefault="00676156" w:rsidP="001C0260">
      <w:pPr>
        <w:pStyle w:val="ConsPlusNormal"/>
        <w:outlineLvl w:val="2"/>
        <w:rPr>
          <w:rFonts w:ascii="Times New Roman" w:hAnsi="Times New Roman" w:cs="Times New Roman"/>
          <w:sz w:val="24"/>
          <w:szCs w:val="24"/>
        </w:rPr>
      </w:pPr>
    </w:p>
    <w:p w:rsidR="00676156" w:rsidRDefault="00676156" w:rsidP="001C0260">
      <w:pPr>
        <w:pStyle w:val="ConsPlusNormal"/>
        <w:outlineLvl w:val="2"/>
        <w:rPr>
          <w:rFonts w:ascii="Times New Roman" w:hAnsi="Times New Roman" w:cs="Times New Roman"/>
          <w:sz w:val="24"/>
          <w:szCs w:val="24"/>
        </w:rPr>
      </w:pPr>
    </w:p>
    <w:p w:rsidR="00676156" w:rsidRDefault="00676156" w:rsidP="001C0260">
      <w:pPr>
        <w:pStyle w:val="ConsPlusNormal"/>
        <w:outlineLvl w:val="2"/>
        <w:rPr>
          <w:rFonts w:ascii="Times New Roman" w:hAnsi="Times New Roman" w:cs="Times New Roman"/>
          <w:sz w:val="24"/>
          <w:szCs w:val="24"/>
        </w:rPr>
      </w:pPr>
    </w:p>
    <w:p w:rsidR="00676156" w:rsidRDefault="00676156" w:rsidP="001C0260">
      <w:pPr>
        <w:pStyle w:val="ConsPlusNormal"/>
        <w:outlineLvl w:val="2"/>
        <w:rPr>
          <w:rFonts w:ascii="Times New Roman" w:hAnsi="Times New Roman" w:cs="Times New Roman"/>
          <w:sz w:val="24"/>
          <w:szCs w:val="24"/>
        </w:rPr>
      </w:pPr>
    </w:p>
    <w:p w:rsidR="00676156" w:rsidRPr="00FF304D" w:rsidRDefault="00676156" w:rsidP="001C0260">
      <w:pPr>
        <w:pStyle w:val="ConsPlusNormal"/>
        <w:outlineLvl w:val="2"/>
        <w:rPr>
          <w:rFonts w:ascii="Times New Roman" w:hAnsi="Times New Roman" w:cs="Times New Roman"/>
          <w:sz w:val="24"/>
          <w:szCs w:val="24"/>
        </w:rPr>
      </w:pPr>
    </w:p>
    <w:p w:rsidR="001C0260" w:rsidRPr="00040E72" w:rsidRDefault="00676156" w:rsidP="001C0260">
      <w:pPr>
        <w:pStyle w:val="a8"/>
        <w:rPr>
          <w:rFonts w:ascii="Times New Roman" w:hAnsi="Times New Roman"/>
          <w:color w:val="FFFFFF" w:themeColor="background1"/>
          <w:sz w:val="24"/>
          <w:szCs w:val="24"/>
        </w:rPr>
      </w:pPr>
      <w:r w:rsidRPr="00040E72">
        <w:rPr>
          <w:rFonts w:ascii="Times New Roman" w:hAnsi="Times New Roman"/>
          <w:color w:val="FFFFFF" w:themeColor="background1"/>
          <w:sz w:val="24"/>
          <w:szCs w:val="24"/>
        </w:rPr>
        <w:t>Заместитель</w:t>
      </w:r>
      <w:r w:rsidR="003B4FAD" w:rsidRPr="00040E72">
        <w:rPr>
          <w:rFonts w:ascii="Times New Roman" w:hAnsi="Times New Roman"/>
          <w:color w:val="FFFFFF" w:themeColor="background1"/>
          <w:sz w:val="24"/>
          <w:szCs w:val="24"/>
        </w:rPr>
        <w:t xml:space="preserve"> </w:t>
      </w:r>
      <w:r w:rsidR="00AA2AEF" w:rsidRPr="00040E72">
        <w:rPr>
          <w:rFonts w:ascii="Times New Roman" w:hAnsi="Times New Roman"/>
          <w:color w:val="FFFFFF" w:themeColor="background1"/>
          <w:sz w:val="24"/>
          <w:szCs w:val="24"/>
        </w:rPr>
        <w:t>Председателя</w:t>
      </w:r>
      <w:r w:rsidR="001C0260" w:rsidRPr="00040E72">
        <w:rPr>
          <w:rFonts w:ascii="Times New Roman" w:hAnsi="Times New Roman"/>
          <w:color w:val="FFFFFF" w:themeColor="background1"/>
          <w:sz w:val="24"/>
          <w:szCs w:val="24"/>
        </w:rPr>
        <w:t xml:space="preserve"> Комитета имущественных  </w:t>
      </w:r>
    </w:p>
    <w:p w:rsidR="001C0260" w:rsidRPr="00040E72" w:rsidRDefault="001C0260" w:rsidP="001C0260">
      <w:pPr>
        <w:pStyle w:val="a8"/>
        <w:rPr>
          <w:rFonts w:ascii="Times New Roman" w:hAnsi="Times New Roman"/>
          <w:color w:val="FFFFFF" w:themeColor="background1"/>
          <w:sz w:val="24"/>
          <w:szCs w:val="24"/>
        </w:rPr>
      </w:pPr>
      <w:r w:rsidRPr="00040E72">
        <w:rPr>
          <w:rFonts w:ascii="Times New Roman" w:hAnsi="Times New Roman"/>
          <w:color w:val="FFFFFF" w:themeColor="background1"/>
          <w:sz w:val="24"/>
          <w:szCs w:val="24"/>
        </w:rPr>
        <w:t xml:space="preserve">отношений </w:t>
      </w:r>
      <w:proofErr w:type="gramStart"/>
      <w:r w:rsidRPr="00040E72">
        <w:rPr>
          <w:rFonts w:ascii="Times New Roman" w:hAnsi="Times New Roman"/>
          <w:color w:val="FFFFFF" w:themeColor="background1"/>
          <w:sz w:val="24"/>
          <w:szCs w:val="24"/>
        </w:rPr>
        <w:t>Администрации  городского</w:t>
      </w:r>
      <w:proofErr w:type="gramEnd"/>
      <w:r w:rsidRPr="00040E72">
        <w:rPr>
          <w:rFonts w:ascii="Times New Roman" w:hAnsi="Times New Roman"/>
          <w:color w:val="FFFFFF" w:themeColor="background1"/>
          <w:sz w:val="24"/>
          <w:szCs w:val="24"/>
        </w:rPr>
        <w:t xml:space="preserve">  округа</w:t>
      </w:r>
    </w:p>
    <w:p w:rsidR="009A6897" w:rsidRPr="00040E72" w:rsidRDefault="001C0260" w:rsidP="0033054A">
      <w:pPr>
        <w:pStyle w:val="a8"/>
        <w:rPr>
          <w:rFonts w:ascii="Times New Roman" w:hAnsi="Times New Roman"/>
          <w:color w:val="FFFFFF" w:themeColor="background1"/>
          <w:sz w:val="24"/>
          <w:szCs w:val="24"/>
        </w:rPr>
      </w:pPr>
      <w:proofErr w:type="gramStart"/>
      <w:r w:rsidRPr="00040E72">
        <w:rPr>
          <w:rFonts w:ascii="Times New Roman" w:hAnsi="Times New Roman"/>
          <w:color w:val="FFFFFF" w:themeColor="background1"/>
          <w:sz w:val="24"/>
          <w:szCs w:val="24"/>
        </w:rPr>
        <w:t xml:space="preserve">Электросталь </w:t>
      </w:r>
      <w:r w:rsidR="0033054A" w:rsidRPr="00040E72">
        <w:rPr>
          <w:rFonts w:ascii="Times New Roman" w:hAnsi="Times New Roman"/>
          <w:color w:val="FFFFFF" w:themeColor="background1"/>
          <w:sz w:val="24"/>
          <w:szCs w:val="24"/>
        </w:rPr>
        <w:t xml:space="preserve"> Московской</w:t>
      </w:r>
      <w:proofErr w:type="gramEnd"/>
      <w:r w:rsidR="0033054A" w:rsidRPr="00040E72">
        <w:rPr>
          <w:rFonts w:ascii="Times New Roman" w:hAnsi="Times New Roman"/>
          <w:color w:val="FFFFFF" w:themeColor="background1"/>
          <w:sz w:val="24"/>
          <w:szCs w:val="24"/>
        </w:rPr>
        <w:t xml:space="preserve"> области                        </w:t>
      </w:r>
      <w:r w:rsidRPr="00040E72">
        <w:rPr>
          <w:rFonts w:ascii="Times New Roman" w:hAnsi="Times New Roman"/>
          <w:color w:val="FFFFFF" w:themeColor="background1"/>
          <w:sz w:val="24"/>
          <w:szCs w:val="24"/>
        </w:rPr>
        <w:t xml:space="preserve">  </w:t>
      </w:r>
      <w:r w:rsidR="00CC6E63" w:rsidRPr="00040E72">
        <w:rPr>
          <w:rFonts w:ascii="Times New Roman" w:hAnsi="Times New Roman"/>
          <w:color w:val="FFFFFF" w:themeColor="background1"/>
          <w:sz w:val="24"/>
          <w:szCs w:val="24"/>
        </w:rPr>
        <w:t xml:space="preserve">                   </w:t>
      </w:r>
      <w:r w:rsidR="00AA2AEF" w:rsidRPr="00040E72">
        <w:rPr>
          <w:rFonts w:ascii="Times New Roman" w:hAnsi="Times New Roman"/>
          <w:color w:val="FFFFFF" w:themeColor="background1"/>
          <w:sz w:val="24"/>
          <w:szCs w:val="24"/>
        </w:rPr>
        <w:t xml:space="preserve">     </w:t>
      </w:r>
      <w:r w:rsidR="00676156" w:rsidRPr="00040E72">
        <w:rPr>
          <w:rFonts w:ascii="Times New Roman" w:hAnsi="Times New Roman"/>
          <w:color w:val="FFFFFF" w:themeColor="background1"/>
          <w:sz w:val="24"/>
          <w:szCs w:val="24"/>
        </w:rPr>
        <w:t xml:space="preserve">           Д.Б. </w:t>
      </w:r>
      <w:proofErr w:type="spellStart"/>
      <w:r w:rsidR="00676156" w:rsidRPr="00040E72">
        <w:rPr>
          <w:rFonts w:ascii="Times New Roman" w:hAnsi="Times New Roman"/>
          <w:color w:val="FFFFFF" w:themeColor="background1"/>
          <w:sz w:val="24"/>
          <w:szCs w:val="24"/>
        </w:rPr>
        <w:t>Качановский</w:t>
      </w:r>
      <w:proofErr w:type="spellEnd"/>
    </w:p>
    <w:p w:rsidR="009A6897" w:rsidRPr="00040E72" w:rsidRDefault="009A6897" w:rsidP="0033054A">
      <w:pPr>
        <w:pStyle w:val="a8"/>
        <w:rPr>
          <w:rFonts w:ascii="Times New Roman" w:hAnsi="Times New Roman"/>
          <w:color w:val="FFFFFF" w:themeColor="background1"/>
          <w:sz w:val="24"/>
          <w:szCs w:val="24"/>
        </w:rPr>
      </w:pPr>
    </w:p>
    <w:p w:rsidR="009A6897" w:rsidRPr="00040E72" w:rsidRDefault="009A6897" w:rsidP="0033054A">
      <w:pPr>
        <w:pStyle w:val="a8"/>
        <w:rPr>
          <w:rFonts w:ascii="Times New Roman" w:hAnsi="Times New Roman"/>
          <w:color w:val="FFFFFF" w:themeColor="background1"/>
          <w:sz w:val="24"/>
          <w:szCs w:val="24"/>
        </w:rPr>
      </w:pPr>
    </w:p>
    <w:p w:rsidR="009A6897" w:rsidRPr="00040E72" w:rsidRDefault="009A6897" w:rsidP="0033054A">
      <w:pPr>
        <w:pStyle w:val="a8"/>
        <w:rPr>
          <w:rFonts w:ascii="Times New Roman" w:hAnsi="Times New Roman"/>
          <w:color w:val="FFFFFF" w:themeColor="background1"/>
          <w:sz w:val="24"/>
          <w:szCs w:val="24"/>
        </w:rPr>
      </w:pPr>
    </w:p>
    <w:p w:rsidR="009A6897" w:rsidRPr="00040E72" w:rsidRDefault="009A6897" w:rsidP="0033054A">
      <w:pPr>
        <w:pStyle w:val="a8"/>
        <w:rPr>
          <w:rFonts w:ascii="Times New Roman" w:hAnsi="Times New Roman"/>
          <w:color w:val="FFFFFF" w:themeColor="background1"/>
          <w:sz w:val="24"/>
          <w:szCs w:val="24"/>
        </w:rPr>
      </w:pPr>
    </w:p>
    <w:p w:rsidR="009A6897" w:rsidRPr="00040E72" w:rsidRDefault="009A6897" w:rsidP="0033054A">
      <w:pPr>
        <w:pStyle w:val="a8"/>
        <w:rPr>
          <w:rFonts w:ascii="Times New Roman" w:hAnsi="Times New Roman"/>
          <w:color w:val="FFFFFF" w:themeColor="background1"/>
          <w:sz w:val="24"/>
          <w:szCs w:val="24"/>
        </w:rPr>
      </w:pPr>
    </w:p>
    <w:p w:rsidR="009A6897" w:rsidRPr="00040E72" w:rsidRDefault="009A6897" w:rsidP="0033054A">
      <w:pPr>
        <w:pStyle w:val="a8"/>
        <w:rPr>
          <w:rFonts w:ascii="Times New Roman" w:hAnsi="Times New Roman"/>
          <w:color w:val="FFFFFF" w:themeColor="background1"/>
          <w:sz w:val="24"/>
          <w:szCs w:val="24"/>
        </w:rPr>
      </w:pPr>
    </w:p>
    <w:p w:rsidR="00AF3985" w:rsidRPr="00040E72" w:rsidRDefault="00AF3985" w:rsidP="0033054A">
      <w:pPr>
        <w:pStyle w:val="a8"/>
        <w:rPr>
          <w:rFonts w:ascii="Times New Roman" w:hAnsi="Times New Roman"/>
          <w:color w:val="FFFFFF" w:themeColor="background1"/>
          <w:sz w:val="24"/>
          <w:szCs w:val="24"/>
        </w:rPr>
      </w:pPr>
    </w:p>
    <w:p w:rsidR="00C443B7" w:rsidRPr="00040E72" w:rsidRDefault="00C443B7" w:rsidP="0033054A">
      <w:pPr>
        <w:pStyle w:val="a8"/>
        <w:rPr>
          <w:rFonts w:ascii="Times New Roman" w:hAnsi="Times New Roman"/>
          <w:color w:val="FFFFFF" w:themeColor="background1"/>
          <w:sz w:val="24"/>
          <w:szCs w:val="24"/>
        </w:rPr>
      </w:pPr>
    </w:p>
    <w:p w:rsidR="00F8109D" w:rsidRPr="00040E72" w:rsidRDefault="00F8109D" w:rsidP="0033054A">
      <w:pPr>
        <w:pStyle w:val="a8"/>
        <w:rPr>
          <w:rFonts w:ascii="Times New Roman" w:hAnsi="Times New Roman"/>
          <w:color w:val="FFFFFF" w:themeColor="background1"/>
          <w:sz w:val="18"/>
          <w:szCs w:val="18"/>
        </w:rPr>
      </w:pPr>
    </w:p>
    <w:p w:rsidR="00AF3985" w:rsidRPr="00040E72" w:rsidRDefault="007C021D" w:rsidP="0033054A">
      <w:pPr>
        <w:pStyle w:val="a8"/>
        <w:rPr>
          <w:rFonts w:ascii="Times New Roman" w:hAnsi="Times New Roman"/>
          <w:color w:val="FFFFFF" w:themeColor="background1"/>
          <w:sz w:val="18"/>
          <w:szCs w:val="18"/>
        </w:rPr>
      </w:pPr>
      <w:r w:rsidRPr="00040E72">
        <w:rPr>
          <w:rFonts w:ascii="Times New Roman" w:hAnsi="Times New Roman"/>
          <w:color w:val="FFFFFF" w:themeColor="background1"/>
          <w:sz w:val="18"/>
          <w:szCs w:val="18"/>
        </w:rPr>
        <w:t>О.Н. Коротаева</w:t>
      </w:r>
    </w:p>
    <w:p w:rsidR="007C021D" w:rsidRPr="00040E72" w:rsidRDefault="007C021D" w:rsidP="0033054A">
      <w:pPr>
        <w:pStyle w:val="a8"/>
        <w:rPr>
          <w:rFonts w:ascii="Times New Roman" w:hAnsi="Times New Roman"/>
          <w:color w:val="FFFFFF" w:themeColor="background1"/>
          <w:sz w:val="18"/>
          <w:szCs w:val="18"/>
        </w:rPr>
      </w:pPr>
      <w:r w:rsidRPr="00040E72">
        <w:rPr>
          <w:rFonts w:ascii="Times New Roman" w:hAnsi="Times New Roman"/>
          <w:color w:val="FFFFFF" w:themeColor="background1"/>
          <w:sz w:val="18"/>
          <w:szCs w:val="18"/>
        </w:rPr>
        <w:t>8(496)571-98-98</w:t>
      </w:r>
    </w:p>
    <w:p w:rsidR="00AF3985" w:rsidRPr="00040E72" w:rsidRDefault="00AF3985" w:rsidP="0033054A">
      <w:pPr>
        <w:pStyle w:val="a8"/>
        <w:rPr>
          <w:rFonts w:ascii="Times New Roman" w:hAnsi="Times New Roman"/>
          <w:color w:val="FFFFFF" w:themeColor="background1"/>
          <w:sz w:val="18"/>
          <w:szCs w:val="18"/>
        </w:rPr>
      </w:pPr>
    </w:p>
    <w:p w:rsidR="00B50E89" w:rsidRDefault="00B50E89" w:rsidP="00B50E89">
      <w:pPr>
        <w:pStyle w:val="ConsPlusNormal"/>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B50E89" w:rsidRDefault="00B50E89" w:rsidP="00AA2AEF">
      <w:pPr>
        <w:pStyle w:val="ConsPlusNonformat"/>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552E41">
        <w:rPr>
          <w:rFonts w:ascii="Times New Roman" w:hAnsi="Times New Roman" w:cs="Times New Roman"/>
          <w:b/>
          <w:sz w:val="24"/>
          <w:szCs w:val="24"/>
        </w:rPr>
        <w:t xml:space="preserve"> года</w:t>
      </w:r>
      <w:r w:rsidR="00552E41" w:rsidRPr="00552E41">
        <w:rPr>
          <w:rFonts w:ascii="Times New Roman" w:hAnsi="Times New Roman" w:cs="Times New Roman"/>
          <w:sz w:val="24"/>
          <w:szCs w:val="24"/>
        </w:rPr>
        <w:t xml:space="preserve"> </w:t>
      </w:r>
      <w:r w:rsidR="00552E41">
        <w:rPr>
          <w:rFonts w:ascii="Times New Roman" w:hAnsi="Times New Roman" w:cs="Times New Roman"/>
          <w:sz w:val="24"/>
          <w:szCs w:val="24"/>
        </w:rPr>
        <w:t>(на период с 01 мая по 30 сентября ежегодно)</w:t>
      </w:r>
      <w:r w:rsidR="00552E41" w:rsidRPr="006F03DF">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93" w:rsidRDefault="00EF1E93" w:rsidP="00132AAD">
      <w:r>
        <w:separator/>
      </w:r>
    </w:p>
  </w:endnote>
  <w:endnote w:type="continuationSeparator" w:id="0">
    <w:p w:rsidR="00EF1E93" w:rsidRDefault="00EF1E93"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93" w:rsidRDefault="00EF1E93" w:rsidP="00132AAD">
      <w:r>
        <w:separator/>
      </w:r>
    </w:p>
  </w:footnote>
  <w:footnote w:type="continuationSeparator" w:id="0">
    <w:p w:rsidR="00EF1E93" w:rsidRDefault="00EF1E93"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4C" w:rsidRDefault="00ED074C" w:rsidP="00195BF4">
    <w:pPr>
      <w:pStyle w:val="a3"/>
    </w:pPr>
  </w:p>
  <w:p w:rsidR="00ED074C" w:rsidRDefault="00ED07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0E72"/>
    <w:rsid w:val="000414EF"/>
    <w:rsid w:val="000462AF"/>
    <w:rsid w:val="00051269"/>
    <w:rsid w:val="000532C4"/>
    <w:rsid w:val="0005444A"/>
    <w:rsid w:val="00056328"/>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156"/>
    <w:rsid w:val="00195BF4"/>
    <w:rsid w:val="00197AB1"/>
    <w:rsid w:val="001B1503"/>
    <w:rsid w:val="001C0260"/>
    <w:rsid w:val="001E12CB"/>
    <w:rsid w:val="001F1C0B"/>
    <w:rsid w:val="001F67DF"/>
    <w:rsid w:val="0021784C"/>
    <w:rsid w:val="00221266"/>
    <w:rsid w:val="00235710"/>
    <w:rsid w:val="00235CA8"/>
    <w:rsid w:val="00247A52"/>
    <w:rsid w:val="0025303C"/>
    <w:rsid w:val="00264FE1"/>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30DFA"/>
    <w:rsid w:val="00534ECA"/>
    <w:rsid w:val="00543F73"/>
    <w:rsid w:val="00552E41"/>
    <w:rsid w:val="00555608"/>
    <w:rsid w:val="00567BD9"/>
    <w:rsid w:val="0058462C"/>
    <w:rsid w:val="005915DD"/>
    <w:rsid w:val="00591D68"/>
    <w:rsid w:val="005946D2"/>
    <w:rsid w:val="0059734F"/>
    <w:rsid w:val="005A5496"/>
    <w:rsid w:val="005C18D9"/>
    <w:rsid w:val="005C4567"/>
    <w:rsid w:val="005D4933"/>
    <w:rsid w:val="005F33A2"/>
    <w:rsid w:val="005F77F2"/>
    <w:rsid w:val="00612653"/>
    <w:rsid w:val="006208B1"/>
    <w:rsid w:val="00622BC3"/>
    <w:rsid w:val="00647728"/>
    <w:rsid w:val="00674F64"/>
    <w:rsid w:val="00676156"/>
    <w:rsid w:val="00676E7E"/>
    <w:rsid w:val="0069141F"/>
    <w:rsid w:val="00697ED4"/>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71AB4"/>
    <w:rsid w:val="00A83744"/>
    <w:rsid w:val="00AA2AEF"/>
    <w:rsid w:val="00AA322F"/>
    <w:rsid w:val="00AB3542"/>
    <w:rsid w:val="00AC5F3B"/>
    <w:rsid w:val="00AF01D3"/>
    <w:rsid w:val="00AF04CA"/>
    <w:rsid w:val="00AF3985"/>
    <w:rsid w:val="00B20945"/>
    <w:rsid w:val="00B3512C"/>
    <w:rsid w:val="00B3551E"/>
    <w:rsid w:val="00B50E89"/>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C79C4"/>
    <w:rsid w:val="00DD1A08"/>
    <w:rsid w:val="00DD3743"/>
    <w:rsid w:val="00DD62A8"/>
    <w:rsid w:val="00DE1897"/>
    <w:rsid w:val="00DF1A81"/>
    <w:rsid w:val="00E239A2"/>
    <w:rsid w:val="00E36AA6"/>
    <w:rsid w:val="00E40421"/>
    <w:rsid w:val="00E44451"/>
    <w:rsid w:val="00E65586"/>
    <w:rsid w:val="00E66AE2"/>
    <w:rsid w:val="00E84003"/>
    <w:rsid w:val="00EA28B2"/>
    <w:rsid w:val="00EA5AA9"/>
    <w:rsid w:val="00EB465E"/>
    <w:rsid w:val="00EC166B"/>
    <w:rsid w:val="00EC6692"/>
    <w:rsid w:val="00EC774F"/>
    <w:rsid w:val="00ED074C"/>
    <w:rsid w:val="00EE66B9"/>
    <w:rsid w:val="00EF1E93"/>
    <w:rsid w:val="00F02574"/>
    <w:rsid w:val="00F05246"/>
    <w:rsid w:val="00F42E56"/>
    <w:rsid w:val="00F53E32"/>
    <w:rsid w:val="00F57A42"/>
    <w:rsid w:val="00F62839"/>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3825</TotalTime>
  <Pages>25</Pages>
  <Words>7845</Words>
  <Characters>44720</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86</cp:revision>
  <cp:lastPrinted>2022-04-06T06:30:00Z</cp:lastPrinted>
  <dcterms:created xsi:type="dcterms:W3CDTF">2017-03-14T13:15:00Z</dcterms:created>
  <dcterms:modified xsi:type="dcterms:W3CDTF">2023-07-06T12:35:00Z</dcterms:modified>
</cp:coreProperties>
</file>