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C94448" w:rsidRDefault="00C94448" w:rsidP="00B63265">
      <w:pPr>
        <w:jc w:val="both"/>
      </w:pPr>
    </w:p>
    <w:p w:rsidR="00930EE6" w:rsidRPr="00571846" w:rsidRDefault="00930EE6" w:rsidP="00AE0209">
      <w:pPr>
        <w:spacing w:line="240" w:lineRule="exact"/>
        <w:jc w:val="both"/>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bookmarkStart w:id="0" w:name="_GoBack"/>
      <w:bookmarkEnd w:id="0"/>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476F3B"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76F3B" w:rsidRPr="0062679F" w:rsidRDefault="00476F3B"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1 015 474,15</w:t>
            </w:r>
          </w:p>
        </w:tc>
        <w:tc>
          <w:tcPr>
            <w:tcW w:w="1701"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312 675,76</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67 414,43</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218 840,09</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263 865,27</w:t>
            </w:r>
          </w:p>
        </w:tc>
      </w:tr>
      <w:tr w:rsidR="00476F3B"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76F3B" w:rsidRPr="0062679F" w:rsidRDefault="00476F3B"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7 183 201,42</w:t>
            </w:r>
          </w:p>
        </w:tc>
        <w:tc>
          <w:tcPr>
            <w:tcW w:w="1701"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182 250,49</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612 045,22</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2 398 881,16</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3 984 479,08</w:t>
            </w:r>
          </w:p>
        </w:tc>
      </w:tr>
      <w:tr w:rsidR="00476F3B"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76F3B" w:rsidRPr="0062679F" w:rsidRDefault="00476F3B"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color w:val="000000"/>
              </w:rPr>
            </w:pPr>
            <w:r>
              <w:rPr>
                <w:color w:val="000000"/>
              </w:rPr>
              <w:t>0,00</w:t>
            </w:r>
          </w:p>
        </w:tc>
      </w:tr>
      <w:tr w:rsidR="00476F3B"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76F3B" w:rsidRPr="0062679F" w:rsidRDefault="00476F3B"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8 198 675,57</w:t>
            </w:r>
          </w:p>
        </w:tc>
        <w:tc>
          <w:tcPr>
            <w:tcW w:w="1701"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494 926,25</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679 459,65</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2 617 721,25</w:t>
            </w:r>
          </w:p>
        </w:tc>
        <w:tc>
          <w:tcPr>
            <w:tcW w:w="1559" w:type="dxa"/>
            <w:tcBorders>
              <w:top w:val="nil"/>
              <w:left w:val="nil"/>
              <w:bottom w:val="single" w:sz="4" w:space="0" w:color="auto"/>
              <w:right w:val="single" w:sz="4" w:space="0" w:color="auto"/>
            </w:tcBorders>
            <w:shd w:val="clear" w:color="auto" w:fill="auto"/>
            <w:vAlign w:val="center"/>
            <w:hideMark/>
          </w:tcPr>
          <w:p w:rsidR="00476F3B" w:rsidRDefault="00476F3B">
            <w:pPr>
              <w:jc w:val="center"/>
              <w:rPr>
                <w:b/>
                <w:bCs/>
                <w:color w:val="000000"/>
              </w:rPr>
            </w:pPr>
            <w:r>
              <w:rPr>
                <w:b/>
                <w:bCs/>
                <w:color w:val="000000"/>
              </w:rPr>
              <w:t>4 248 344,35</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AE0209">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476F3B" w:rsidRPr="00476F3B" w:rsidTr="00476F3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xml:space="preserve">Всего </w:t>
            </w:r>
            <w:r w:rsidRPr="00476F3B">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xml:space="preserve">Ответственный за выполнение мероприятия </w:t>
            </w:r>
          </w:p>
        </w:tc>
      </w:tr>
      <w:tr w:rsidR="00476F3B" w:rsidRPr="00476F3B" w:rsidTr="00476F3B">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rPr>
                <w:rFonts w:cs="Times New Roman"/>
                <w:color w:val="0D0D0D"/>
                <w:sz w:val="16"/>
                <w:szCs w:val="16"/>
              </w:rPr>
            </w:pPr>
            <w:r w:rsidRPr="00476F3B">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11</w:t>
            </w:r>
          </w:p>
        </w:tc>
      </w:tr>
      <w:tr w:rsidR="00476F3B" w:rsidRPr="00476F3B" w:rsidTr="00476F3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6 517 063,55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2 273 612,67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4 176 536,33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r>
      <w:tr w:rsidR="00476F3B" w:rsidRPr="00476F3B" w:rsidTr="00476F3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381 606,27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211 326,85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6 135 457,28</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2 113 275,54</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3 965 209,48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6 513 451,55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2 273 612,67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4 176 536,33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УГЖКХ</w:t>
            </w:r>
          </w:p>
        </w:tc>
      </w:tr>
      <w:tr w:rsidR="00476F3B" w:rsidRPr="00476F3B" w:rsidTr="00476F3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377 994,27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211 326,85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6 135 457,28</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2 113 275,54</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3 965 209,48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X</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X</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w:t>
            </w:r>
          </w:p>
        </w:tc>
      </w:tr>
      <w:tr w:rsidR="00476F3B" w:rsidRPr="00476F3B" w:rsidTr="00476F3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3612</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 </w:t>
            </w: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X</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X</w:t>
            </w:r>
          </w:p>
        </w:tc>
      </w:tr>
      <w:tr w:rsidR="00476F3B" w:rsidRPr="00476F3B" w:rsidTr="00476F3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vMerge w:val="restart"/>
            <w:tcBorders>
              <w:top w:val="nil"/>
              <w:left w:val="nil"/>
              <w:bottom w:val="single" w:sz="4" w:space="0" w:color="000000"/>
              <w:right w:val="single" w:sz="4" w:space="0" w:color="auto"/>
            </w:tcBorders>
            <w:shd w:val="clear" w:color="auto" w:fill="auto"/>
            <w:noWrap/>
            <w:hideMark/>
          </w:tcPr>
          <w:p w:rsidR="00476F3B" w:rsidRPr="00476F3B" w:rsidRDefault="00476F3B" w:rsidP="00476F3B">
            <w:pPr>
              <w:jc w:val="center"/>
              <w:rPr>
                <w:rFonts w:ascii="Calibri" w:hAnsi="Calibri" w:cs="Calibri"/>
                <w:color w:val="000000"/>
              </w:rPr>
            </w:pPr>
            <w:r w:rsidRPr="00476F3B">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6 517 063,55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2 273 612,67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4 176 536,33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Х</w:t>
            </w:r>
          </w:p>
        </w:tc>
      </w:tr>
      <w:tr w:rsidR="00476F3B" w:rsidRPr="00476F3B" w:rsidTr="00476F3B">
        <w:trPr>
          <w:trHeight w:val="900"/>
        </w:trPr>
        <w:tc>
          <w:tcPr>
            <w:tcW w:w="0" w:type="auto"/>
            <w:vMerge/>
            <w:tcBorders>
              <w:top w:val="nil"/>
              <w:left w:val="nil"/>
              <w:bottom w:val="single" w:sz="4" w:space="0" w:color="000000"/>
              <w:right w:val="single" w:sz="4" w:space="0" w:color="auto"/>
            </w:tcBorders>
            <w:shd w:val="clear" w:color="auto" w:fill="auto"/>
            <w:vAlign w:val="center"/>
            <w:hideMark/>
          </w:tcPr>
          <w:p w:rsidR="00476F3B" w:rsidRPr="00476F3B" w:rsidRDefault="00476F3B" w:rsidP="00476F3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381 606,27</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3 612,00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211 326,85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450"/>
        </w:trPr>
        <w:tc>
          <w:tcPr>
            <w:tcW w:w="0" w:type="auto"/>
            <w:vMerge/>
            <w:tcBorders>
              <w:top w:val="nil"/>
              <w:left w:val="nil"/>
              <w:bottom w:val="single" w:sz="4" w:space="0" w:color="000000"/>
              <w:right w:val="single" w:sz="4" w:space="0" w:color="auto"/>
            </w:tcBorders>
            <w:shd w:val="clear" w:color="auto" w:fill="auto"/>
            <w:vAlign w:val="center"/>
            <w:hideMark/>
          </w:tcPr>
          <w:p w:rsidR="00476F3B" w:rsidRPr="00476F3B" w:rsidRDefault="00476F3B" w:rsidP="00476F3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6 135 457,28</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right"/>
              <w:rPr>
                <w:rFonts w:cs="Times New Roman"/>
                <w:color w:val="0D0D0D"/>
                <w:sz w:val="16"/>
                <w:szCs w:val="16"/>
              </w:rPr>
            </w:pPr>
            <w:r w:rsidRPr="00476F3B">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2 113 275,54</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3 965 209,48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D0D0D"/>
                <w:sz w:val="16"/>
                <w:szCs w:val="16"/>
              </w:rPr>
            </w:pPr>
          </w:p>
        </w:tc>
      </w:tr>
      <w:tr w:rsidR="00476F3B" w:rsidRPr="00476F3B" w:rsidTr="00476F3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476F3B" w:rsidRPr="00476F3B" w:rsidRDefault="00476F3B" w:rsidP="00476F3B">
            <w:pPr>
              <w:rPr>
                <w:rFonts w:cs="Times New Roman"/>
                <w:color w:val="000000"/>
                <w:sz w:val="20"/>
                <w:szCs w:val="20"/>
              </w:rPr>
            </w:pPr>
            <w:r w:rsidRPr="00476F3B">
              <w:rPr>
                <w:rFonts w:cs="Times New Roman"/>
                <w:color w:val="000000"/>
                <w:sz w:val="20"/>
                <w:szCs w:val="20"/>
              </w:rPr>
              <w:t>В том числе по главным распорядителям бюджетных средств:</w:t>
            </w:r>
          </w:p>
        </w:tc>
      </w:tr>
      <w:tr w:rsidR="00476F3B" w:rsidRPr="00476F3B" w:rsidTr="00476F3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ascii="Calibri" w:hAnsi="Calibri" w:cs="Calibri"/>
                <w:color w:val="000000"/>
              </w:rPr>
            </w:pPr>
            <w:r w:rsidRPr="00476F3B">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20"/>
                <w:szCs w:val="20"/>
              </w:rPr>
            </w:pPr>
            <w:r w:rsidRPr="00476F3B">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rPr>
            </w:pPr>
            <w:r w:rsidRPr="00476F3B">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6 517 063,55</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3 612,00</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2 273 612,67</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4 176 536,33</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76F3B" w:rsidRPr="00476F3B" w:rsidRDefault="00476F3B" w:rsidP="00476F3B">
            <w:pPr>
              <w:jc w:val="center"/>
              <w:rPr>
                <w:rFonts w:cs="Times New Roman"/>
                <w:color w:val="000000"/>
                <w:sz w:val="20"/>
                <w:szCs w:val="20"/>
              </w:rPr>
            </w:pPr>
            <w:r w:rsidRPr="00476F3B">
              <w:rPr>
                <w:rFonts w:cs="Times New Roman"/>
                <w:color w:val="000000"/>
                <w:sz w:val="20"/>
                <w:szCs w:val="20"/>
              </w:rPr>
              <w:t>Х</w:t>
            </w:r>
          </w:p>
        </w:tc>
      </w:tr>
      <w:tr w:rsidR="00476F3B" w:rsidRPr="00476F3B" w:rsidTr="00476F3B">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381 606,27</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3 612,00</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211 326,85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20"/>
                <w:szCs w:val="20"/>
              </w:rPr>
            </w:pPr>
          </w:p>
        </w:tc>
      </w:tr>
      <w:tr w:rsidR="00476F3B" w:rsidRPr="00476F3B" w:rsidTr="00476F3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476F3B" w:rsidRPr="00476F3B" w:rsidRDefault="00476F3B" w:rsidP="00476F3B">
            <w:pPr>
              <w:rPr>
                <w:rFonts w:cs="Times New Roman"/>
                <w:color w:val="0D0D0D"/>
                <w:sz w:val="16"/>
                <w:szCs w:val="16"/>
              </w:rPr>
            </w:pPr>
            <w:r w:rsidRPr="00476F3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6 135 457,28</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2 113 275,54</w:t>
            </w:r>
          </w:p>
        </w:tc>
        <w:tc>
          <w:tcPr>
            <w:tcW w:w="0" w:type="auto"/>
            <w:tcBorders>
              <w:top w:val="nil"/>
              <w:left w:val="nil"/>
              <w:bottom w:val="single" w:sz="4" w:space="0" w:color="auto"/>
              <w:right w:val="single" w:sz="4" w:space="0" w:color="auto"/>
            </w:tcBorders>
            <w:shd w:val="clear" w:color="auto" w:fill="auto"/>
            <w:noWrap/>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3 965 209,48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76F3B" w:rsidRPr="00476F3B" w:rsidRDefault="00476F3B" w:rsidP="00476F3B">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107" w:type="pct"/>
        <w:tblLayout w:type="fixed"/>
        <w:tblLook w:val="04A0" w:firstRow="1" w:lastRow="0" w:firstColumn="1" w:lastColumn="0" w:noHBand="0" w:noVBand="1"/>
      </w:tblPr>
      <w:tblGrid>
        <w:gridCol w:w="361"/>
        <w:gridCol w:w="1216"/>
        <w:gridCol w:w="794"/>
        <w:gridCol w:w="1133"/>
        <w:gridCol w:w="993"/>
        <w:gridCol w:w="993"/>
        <w:gridCol w:w="1140"/>
        <w:gridCol w:w="993"/>
        <w:gridCol w:w="1133"/>
        <w:gridCol w:w="1133"/>
        <w:gridCol w:w="709"/>
        <w:gridCol w:w="568"/>
        <w:gridCol w:w="990"/>
        <w:gridCol w:w="1274"/>
        <w:gridCol w:w="1137"/>
        <w:gridCol w:w="709"/>
      </w:tblGrid>
      <w:tr w:rsidR="00476F3B" w:rsidRPr="00476F3B" w:rsidTr="00476F3B">
        <w:trPr>
          <w:trHeight w:val="1365"/>
        </w:trPr>
        <w:tc>
          <w:tcPr>
            <w:tcW w:w="11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98"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xml:space="preserve">Наименование объекта, </w:t>
            </w:r>
          </w:p>
        </w:tc>
        <w:tc>
          <w:tcPr>
            <w:tcW w:w="26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Мощность (куб.м/сут.)</w:t>
            </w:r>
          </w:p>
        </w:tc>
        <w:tc>
          <w:tcPr>
            <w:tcW w:w="371"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Виды работ в соответствии с классифи-катором работ</w:t>
            </w:r>
          </w:p>
        </w:tc>
        <w:tc>
          <w:tcPr>
            <w:tcW w:w="32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Сроки проведения работ</w:t>
            </w:r>
          </w:p>
        </w:tc>
        <w:tc>
          <w:tcPr>
            <w:tcW w:w="32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Открытие объекта/</w:t>
            </w:r>
          </w:p>
        </w:tc>
        <w:tc>
          <w:tcPr>
            <w:tcW w:w="372"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xml:space="preserve">Предельная стоимость объекта </w:t>
            </w:r>
          </w:p>
        </w:tc>
        <w:tc>
          <w:tcPr>
            <w:tcW w:w="32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Профинанси-ровано на 01.01.2023</w:t>
            </w:r>
          </w:p>
        </w:tc>
        <w:tc>
          <w:tcPr>
            <w:tcW w:w="371"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Источники финанси-рования</w:t>
            </w:r>
          </w:p>
        </w:tc>
        <w:tc>
          <w:tcPr>
            <w:tcW w:w="1902" w:type="pct"/>
            <w:gridSpan w:val="6"/>
            <w:tcBorders>
              <w:top w:val="single" w:sz="8" w:space="0" w:color="auto"/>
              <w:left w:val="nil"/>
              <w:bottom w:val="single" w:sz="8" w:space="0" w:color="auto"/>
              <w:right w:val="single" w:sz="8" w:space="0" w:color="000000"/>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Финансирование, в том числе распределение субсидий из бюджета Московской области (тыс. руб.)</w:t>
            </w:r>
          </w:p>
        </w:tc>
        <w:tc>
          <w:tcPr>
            <w:tcW w:w="232"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Остаток сметной стоимости до завершения работ</w:t>
            </w:r>
          </w:p>
        </w:tc>
      </w:tr>
      <w:tr w:rsidR="00476F3B" w:rsidRPr="00476F3B" w:rsidTr="002A0457">
        <w:trPr>
          <w:trHeight w:val="315"/>
        </w:trPr>
        <w:tc>
          <w:tcPr>
            <w:tcW w:w="118"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Всего</w:t>
            </w:r>
          </w:p>
        </w:tc>
        <w:tc>
          <w:tcPr>
            <w:tcW w:w="232"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2023 год</w:t>
            </w:r>
          </w:p>
        </w:tc>
        <w:tc>
          <w:tcPr>
            <w:tcW w:w="186"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2024 год</w:t>
            </w:r>
          </w:p>
        </w:tc>
        <w:tc>
          <w:tcPr>
            <w:tcW w:w="324"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2025 год</w:t>
            </w:r>
          </w:p>
        </w:tc>
        <w:tc>
          <w:tcPr>
            <w:tcW w:w="417"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2026 год</w:t>
            </w:r>
          </w:p>
        </w:tc>
        <w:tc>
          <w:tcPr>
            <w:tcW w:w="372" w:type="pct"/>
            <w:tcBorders>
              <w:top w:val="single" w:sz="4" w:space="0" w:color="auto"/>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2027 год</w:t>
            </w:r>
          </w:p>
        </w:tc>
        <w:tc>
          <w:tcPr>
            <w:tcW w:w="232" w:type="pct"/>
            <w:vMerge/>
            <w:tcBorders>
              <w:top w:val="single" w:sz="8" w:space="0" w:color="auto"/>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r>
      <w:tr w:rsidR="00476F3B" w:rsidRPr="00476F3B" w:rsidTr="00476F3B">
        <w:trPr>
          <w:trHeight w:val="315"/>
        </w:trPr>
        <w:tc>
          <w:tcPr>
            <w:tcW w:w="118" w:type="pct"/>
            <w:tcBorders>
              <w:top w:val="nil"/>
              <w:left w:val="single" w:sz="8" w:space="0" w:color="auto"/>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w:t>
            </w:r>
          </w:p>
        </w:tc>
        <w:tc>
          <w:tcPr>
            <w:tcW w:w="398"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w:t>
            </w:r>
          </w:p>
        </w:tc>
        <w:tc>
          <w:tcPr>
            <w:tcW w:w="260"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w:t>
            </w:r>
          </w:p>
        </w:tc>
        <w:tc>
          <w:tcPr>
            <w:tcW w:w="325"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w:t>
            </w:r>
          </w:p>
        </w:tc>
        <w:tc>
          <w:tcPr>
            <w:tcW w:w="325"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w:t>
            </w:r>
          </w:p>
        </w:tc>
        <w:tc>
          <w:tcPr>
            <w:tcW w:w="372"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7</w:t>
            </w:r>
          </w:p>
        </w:tc>
        <w:tc>
          <w:tcPr>
            <w:tcW w:w="325"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8</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9</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10</w:t>
            </w:r>
          </w:p>
        </w:tc>
        <w:tc>
          <w:tcPr>
            <w:tcW w:w="232"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11</w:t>
            </w:r>
          </w:p>
        </w:tc>
        <w:tc>
          <w:tcPr>
            <w:tcW w:w="186"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12</w:t>
            </w:r>
          </w:p>
        </w:tc>
        <w:tc>
          <w:tcPr>
            <w:tcW w:w="324"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13</w:t>
            </w:r>
          </w:p>
        </w:tc>
        <w:tc>
          <w:tcPr>
            <w:tcW w:w="417"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14</w:t>
            </w:r>
          </w:p>
        </w:tc>
        <w:tc>
          <w:tcPr>
            <w:tcW w:w="372"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15</w:t>
            </w:r>
          </w:p>
        </w:tc>
        <w:tc>
          <w:tcPr>
            <w:tcW w:w="232" w:type="pct"/>
            <w:tcBorders>
              <w:top w:val="nil"/>
              <w:left w:val="nil"/>
              <w:bottom w:val="single" w:sz="8" w:space="0" w:color="auto"/>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160</w:t>
            </w:r>
          </w:p>
        </w:tc>
      </w:tr>
      <w:tr w:rsidR="00476F3B" w:rsidRPr="00476F3B" w:rsidTr="00476F3B">
        <w:trPr>
          <w:trHeight w:val="420"/>
        </w:trPr>
        <w:tc>
          <w:tcPr>
            <w:tcW w:w="118"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w:t>
            </w:r>
          </w:p>
        </w:tc>
        <w:tc>
          <w:tcPr>
            <w:tcW w:w="398"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Реконструкция биологических очистных сооружений канализации по адресу: г.о. Электросталь, пос. Фрязево (в том числе ПИР)</w:t>
            </w:r>
          </w:p>
        </w:tc>
        <w:tc>
          <w:tcPr>
            <w:tcW w:w="260"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100</w:t>
            </w:r>
          </w:p>
        </w:tc>
        <w:tc>
          <w:tcPr>
            <w:tcW w:w="371"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Реконструкция (в т.ч. проектные и изыскательные работы)</w:t>
            </w:r>
          </w:p>
        </w:tc>
        <w:tc>
          <w:tcPr>
            <w:tcW w:w="325"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20.01.2021-29.11.2027</w:t>
            </w:r>
          </w:p>
        </w:tc>
        <w:tc>
          <w:tcPr>
            <w:tcW w:w="325"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30.11.2027</w:t>
            </w:r>
          </w:p>
        </w:tc>
        <w:tc>
          <w:tcPr>
            <w:tcW w:w="372"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142635,17</w:t>
            </w: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8 873,70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Итого:</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133761,47</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63302,55</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20458,92</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50000</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915"/>
        </w:trPr>
        <w:tc>
          <w:tcPr>
            <w:tcW w:w="11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7 187,70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120385,26</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56972,26</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18413,03</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44999,97</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1815"/>
        </w:trPr>
        <w:tc>
          <w:tcPr>
            <w:tcW w:w="11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1 686,00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городского округа Электросталь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13376,21</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6330,29</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2045,89</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5000,03</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315"/>
        </w:trPr>
        <w:tc>
          <w:tcPr>
            <w:tcW w:w="118"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w:t>
            </w:r>
          </w:p>
        </w:tc>
        <w:tc>
          <w:tcPr>
            <w:tcW w:w="398"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Очистные сооружения в г.о. Электросталь Московской области мощностью 60 тыс. куб. м/сут.</w:t>
            </w:r>
          </w:p>
        </w:tc>
        <w:tc>
          <w:tcPr>
            <w:tcW w:w="260"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60</w:t>
            </w:r>
          </w:p>
        </w:tc>
        <w:tc>
          <w:tcPr>
            <w:tcW w:w="371"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Реконструкция</w:t>
            </w:r>
          </w:p>
        </w:tc>
        <w:tc>
          <w:tcPr>
            <w:tcW w:w="325"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20.01.2026-29.11.2027</w:t>
            </w:r>
          </w:p>
        </w:tc>
        <w:tc>
          <w:tcPr>
            <w:tcW w:w="325"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jc w:val="right"/>
              <w:rPr>
                <w:rFonts w:cs="Times New Roman"/>
                <w:color w:val="000000"/>
                <w:sz w:val="16"/>
                <w:szCs w:val="16"/>
              </w:rPr>
            </w:pPr>
            <w:r w:rsidRPr="00476F3B">
              <w:rPr>
                <w:rFonts w:cs="Times New Roman"/>
                <w:color w:val="000000"/>
                <w:sz w:val="16"/>
                <w:szCs w:val="16"/>
              </w:rPr>
              <w:t>30.11.2027</w:t>
            </w:r>
          </w:p>
        </w:tc>
        <w:tc>
          <w:tcPr>
            <w:tcW w:w="372" w:type="pct"/>
            <w:vMerge w:val="restart"/>
            <w:tcBorders>
              <w:top w:val="nil"/>
              <w:left w:val="single" w:sz="8" w:space="0" w:color="auto"/>
              <w:bottom w:val="single" w:sz="8" w:space="0" w:color="000000"/>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6 331 649,50</w:t>
            </w: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Итого:</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6 331 649,50</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2 205 113,17</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4 126 536,33</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915"/>
        </w:trPr>
        <w:tc>
          <w:tcPr>
            <w:tcW w:w="11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6 015 067,02</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2 094 857,51</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3 920 209,51</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1815"/>
        </w:trPr>
        <w:tc>
          <w:tcPr>
            <w:tcW w:w="11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98"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260"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1"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7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городского округа Электросталь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316 582,48</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110 255,66</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D0D0D"/>
                <w:sz w:val="16"/>
                <w:szCs w:val="16"/>
              </w:rPr>
            </w:pPr>
            <w:r w:rsidRPr="00476F3B">
              <w:rPr>
                <w:rFonts w:cs="Times New Roman"/>
                <w:color w:val="0D0D0D"/>
                <w:sz w:val="16"/>
                <w:szCs w:val="16"/>
              </w:rPr>
              <w:t>206 326,82</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315"/>
        </w:trPr>
        <w:tc>
          <w:tcPr>
            <w:tcW w:w="2170"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476F3B" w:rsidRPr="00476F3B" w:rsidRDefault="00476F3B" w:rsidP="00476F3B">
            <w:pPr>
              <w:jc w:val="center"/>
              <w:rPr>
                <w:rFonts w:cs="Times New Roman"/>
                <w:color w:val="000000"/>
                <w:sz w:val="20"/>
                <w:szCs w:val="20"/>
              </w:rPr>
            </w:pPr>
            <w:r w:rsidRPr="00476F3B">
              <w:rPr>
                <w:rFonts w:cs="Times New Roman"/>
                <w:color w:val="000000"/>
                <w:sz w:val="20"/>
                <w:szCs w:val="20"/>
              </w:rPr>
              <w:t>Нераспределенный остаток</w:t>
            </w: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Итого:</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48 040,58</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r>
      <w:tr w:rsidR="00476F3B" w:rsidRPr="00476F3B" w:rsidTr="00476F3B">
        <w:trPr>
          <w:trHeight w:val="915"/>
        </w:trPr>
        <w:tc>
          <w:tcPr>
            <w:tcW w:w="2170" w:type="pct"/>
            <w:gridSpan w:val="7"/>
            <w:vMerge/>
            <w:tcBorders>
              <w:top w:val="single" w:sz="8" w:space="0" w:color="auto"/>
              <w:left w:val="single" w:sz="8" w:space="0" w:color="auto"/>
              <w:bottom w:val="single" w:sz="8" w:space="0" w:color="000000"/>
              <w:right w:val="single" w:sz="8" w:space="0" w:color="000000"/>
            </w:tcBorders>
            <w:vAlign w:val="center"/>
            <w:hideMark/>
          </w:tcPr>
          <w:p w:rsidR="00476F3B" w:rsidRPr="00476F3B" w:rsidRDefault="00476F3B" w:rsidP="00476F3B">
            <w:pPr>
              <w:rPr>
                <w:rFonts w:cs="Times New Roman"/>
                <w:color w:val="000000"/>
                <w:sz w:val="20"/>
                <w:szCs w:val="20"/>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 </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5,00</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r>
      <w:tr w:rsidR="00476F3B" w:rsidRPr="00476F3B" w:rsidTr="00476F3B">
        <w:trPr>
          <w:trHeight w:val="1815"/>
        </w:trPr>
        <w:tc>
          <w:tcPr>
            <w:tcW w:w="2170" w:type="pct"/>
            <w:gridSpan w:val="7"/>
            <w:vMerge/>
            <w:tcBorders>
              <w:top w:val="single" w:sz="8" w:space="0" w:color="auto"/>
              <w:left w:val="single" w:sz="8" w:space="0" w:color="auto"/>
              <w:bottom w:val="single" w:sz="8" w:space="0" w:color="000000"/>
              <w:right w:val="single" w:sz="8" w:space="0" w:color="000000"/>
            </w:tcBorders>
            <w:vAlign w:val="center"/>
            <w:hideMark/>
          </w:tcPr>
          <w:p w:rsidR="00476F3B" w:rsidRPr="00476F3B" w:rsidRDefault="00476F3B" w:rsidP="00476F3B">
            <w:pPr>
              <w:rPr>
                <w:rFonts w:cs="Times New Roman"/>
                <w:color w:val="000000"/>
                <w:sz w:val="20"/>
                <w:szCs w:val="20"/>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городского округа Электросталь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48035,58</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rPr>
                <w:rFonts w:ascii="Calibri" w:hAnsi="Calibri" w:cs="Calibri"/>
                <w:color w:val="000000"/>
              </w:rPr>
            </w:pPr>
            <w:r w:rsidRPr="00476F3B">
              <w:rPr>
                <w:rFonts w:ascii="Calibri" w:hAnsi="Calibri" w:cs="Calibri"/>
                <w:color w:val="000000"/>
                <w:sz w:val="22"/>
                <w:szCs w:val="22"/>
              </w:rPr>
              <w:t> </w:t>
            </w:r>
          </w:p>
        </w:tc>
      </w:tr>
      <w:tr w:rsidR="00476F3B" w:rsidRPr="00476F3B" w:rsidTr="00476F3B">
        <w:trPr>
          <w:trHeight w:val="315"/>
        </w:trPr>
        <w:tc>
          <w:tcPr>
            <w:tcW w:w="2170" w:type="pct"/>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Всего по мероприятию</w:t>
            </w: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8 873,70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Итого</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6 513 451,55</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0,00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63 302,55</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2 273 612,67</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4 176 536,33</w:t>
            </w:r>
          </w:p>
        </w:tc>
        <w:tc>
          <w:tcPr>
            <w:tcW w:w="232" w:type="pct"/>
            <w:vMerge w:val="restart"/>
            <w:tcBorders>
              <w:top w:val="nil"/>
              <w:left w:val="single" w:sz="8" w:space="0" w:color="auto"/>
              <w:bottom w:val="single" w:sz="8" w:space="0" w:color="000000"/>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w:t>
            </w:r>
          </w:p>
        </w:tc>
      </w:tr>
      <w:tr w:rsidR="00476F3B" w:rsidRPr="00476F3B" w:rsidTr="00476F3B">
        <w:trPr>
          <w:trHeight w:val="915"/>
        </w:trPr>
        <w:tc>
          <w:tcPr>
            <w:tcW w:w="2170" w:type="pct"/>
            <w:gridSpan w:val="7"/>
            <w:vMerge/>
            <w:tcBorders>
              <w:top w:val="single" w:sz="8" w:space="0" w:color="auto"/>
              <w:left w:val="single" w:sz="8" w:space="0" w:color="auto"/>
              <w:bottom w:val="single" w:sz="8" w:space="0" w:color="000000"/>
              <w:right w:val="single" w:sz="8" w:space="0" w:color="000000"/>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7 187,70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бюджета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6135457,28</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56 972,26</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2 113 275,54</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3 965 209,48</w:t>
            </w:r>
          </w:p>
        </w:tc>
        <w:tc>
          <w:tcPr>
            <w:tcW w:w="23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r>
      <w:tr w:rsidR="00476F3B" w:rsidRPr="00476F3B" w:rsidTr="00476F3B">
        <w:trPr>
          <w:trHeight w:val="1815"/>
        </w:trPr>
        <w:tc>
          <w:tcPr>
            <w:tcW w:w="2170" w:type="pct"/>
            <w:gridSpan w:val="7"/>
            <w:vMerge/>
            <w:tcBorders>
              <w:top w:val="single" w:sz="8" w:space="0" w:color="auto"/>
              <w:left w:val="single" w:sz="8" w:space="0" w:color="auto"/>
              <w:bottom w:val="single" w:sz="8" w:space="0" w:color="000000"/>
              <w:right w:val="single" w:sz="8" w:space="0" w:color="000000"/>
            </w:tcBorders>
            <w:vAlign w:val="center"/>
            <w:hideMark/>
          </w:tcPr>
          <w:p w:rsidR="00476F3B" w:rsidRPr="00476F3B" w:rsidRDefault="00476F3B" w:rsidP="00476F3B">
            <w:pPr>
              <w:rPr>
                <w:rFonts w:cs="Times New Roman"/>
                <w:color w:val="000000"/>
                <w:sz w:val="16"/>
                <w:szCs w:val="16"/>
              </w:rPr>
            </w:pPr>
          </w:p>
        </w:tc>
        <w:tc>
          <w:tcPr>
            <w:tcW w:w="325"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1 686,00</w:t>
            </w:r>
          </w:p>
        </w:tc>
        <w:tc>
          <w:tcPr>
            <w:tcW w:w="371" w:type="pct"/>
            <w:tcBorders>
              <w:top w:val="nil"/>
              <w:left w:val="nil"/>
              <w:bottom w:val="single" w:sz="8" w:space="0" w:color="auto"/>
              <w:right w:val="single" w:sz="8" w:space="0" w:color="auto"/>
            </w:tcBorders>
            <w:shd w:val="clear" w:color="auto" w:fill="auto"/>
            <w:hideMark/>
          </w:tcPr>
          <w:p w:rsidR="00476F3B" w:rsidRPr="00476F3B" w:rsidRDefault="00476F3B" w:rsidP="00476F3B">
            <w:pPr>
              <w:rPr>
                <w:rFonts w:cs="Times New Roman"/>
                <w:color w:val="000000"/>
                <w:sz w:val="16"/>
                <w:szCs w:val="16"/>
              </w:rPr>
            </w:pPr>
            <w:r w:rsidRPr="00476F3B">
              <w:rPr>
                <w:rFonts w:cs="Times New Roman"/>
                <w:color w:val="000000"/>
                <w:sz w:val="16"/>
                <w:szCs w:val="16"/>
              </w:rPr>
              <w:t>Средства бюджетов городского округа Электросталь  Московской области</w:t>
            </w:r>
          </w:p>
        </w:tc>
        <w:tc>
          <w:tcPr>
            <w:tcW w:w="371"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377994,27</w:t>
            </w:r>
          </w:p>
        </w:tc>
        <w:tc>
          <w:tcPr>
            <w:tcW w:w="23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186"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0</w:t>
            </w:r>
          </w:p>
        </w:tc>
        <w:tc>
          <w:tcPr>
            <w:tcW w:w="324"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6 330,29</w:t>
            </w:r>
          </w:p>
        </w:tc>
        <w:tc>
          <w:tcPr>
            <w:tcW w:w="417"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160 337,13</w:t>
            </w:r>
          </w:p>
        </w:tc>
        <w:tc>
          <w:tcPr>
            <w:tcW w:w="372" w:type="pct"/>
            <w:tcBorders>
              <w:top w:val="nil"/>
              <w:left w:val="nil"/>
              <w:bottom w:val="single" w:sz="8" w:space="0" w:color="auto"/>
              <w:right w:val="single" w:sz="8" w:space="0" w:color="auto"/>
            </w:tcBorders>
            <w:shd w:val="clear" w:color="auto" w:fill="auto"/>
            <w:noWrap/>
            <w:hideMark/>
          </w:tcPr>
          <w:p w:rsidR="00476F3B" w:rsidRPr="00476F3B" w:rsidRDefault="00476F3B" w:rsidP="00476F3B">
            <w:pPr>
              <w:jc w:val="center"/>
              <w:rPr>
                <w:rFonts w:cs="Times New Roman"/>
                <w:color w:val="000000"/>
                <w:sz w:val="16"/>
                <w:szCs w:val="16"/>
              </w:rPr>
            </w:pPr>
            <w:r w:rsidRPr="00476F3B">
              <w:rPr>
                <w:rFonts w:cs="Times New Roman"/>
                <w:color w:val="000000"/>
                <w:sz w:val="16"/>
                <w:szCs w:val="16"/>
              </w:rPr>
              <w:t>211 326,85</w:t>
            </w:r>
          </w:p>
        </w:tc>
        <w:tc>
          <w:tcPr>
            <w:tcW w:w="232" w:type="pct"/>
            <w:vMerge/>
            <w:tcBorders>
              <w:top w:val="nil"/>
              <w:left w:val="single" w:sz="8" w:space="0" w:color="auto"/>
              <w:bottom w:val="single" w:sz="8" w:space="0" w:color="000000"/>
              <w:right w:val="single" w:sz="8" w:space="0" w:color="auto"/>
            </w:tcBorders>
            <w:vAlign w:val="center"/>
            <w:hideMark/>
          </w:tcPr>
          <w:p w:rsidR="00476F3B" w:rsidRPr="00476F3B" w:rsidRDefault="00476F3B" w:rsidP="00476F3B">
            <w:pPr>
              <w:rPr>
                <w:rFonts w:cs="Times New Roman"/>
                <w:color w:val="000000"/>
                <w:sz w:val="16"/>
                <w:szCs w:val="16"/>
              </w:rPr>
            </w:pPr>
          </w:p>
        </w:tc>
      </w:tr>
    </w:tbl>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971"/>
        <w:gridCol w:w="1120"/>
        <w:gridCol w:w="1410"/>
        <w:gridCol w:w="1056"/>
        <w:gridCol w:w="936"/>
        <w:gridCol w:w="611"/>
        <w:gridCol w:w="749"/>
        <w:gridCol w:w="928"/>
        <w:gridCol w:w="768"/>
        <w:gridCol w:w="769"/>
        <w:gridCol w:w="936"/>
        <w:gridCol w:w="936"/>
        <w:gridCol w:w="856"/>
        <w:gridCol w:w="1360"/>
      </w:tblGrid>
      <w:tr w:rsidR="002A0457" w:rsidRPr="002A0457" w:rsidTr="002A045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bookmarkStart w:id="1" w:name="RANGE!A1:O89"/>
            <w:r w:rsidRPr="002A0457">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Всего</w:t>
            </w:r>
            <w:r w:rsidRPr="002A0457">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 xml:space="preserve">Ответственный за выполнение мероприятия </w:t>
            </w:r>
          </w:p>
        </w:tc>
      </w:tr>
      <w:tr w:rsidR="002A0457" w:rsidRPr="002A0457" w:rsidTr="002A0457">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rPr>
                <w:rFonts w:cs="Times New Roman"/>
                <w:color w:val="000000"/>
                <w:sz w:val="16"/>
                <w:szCs w:val="16"/>
              </w:rPr>
            </w:pPr>
            <w:r w:rsidRPr="002A0457">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D0D0D"/>
                <w:sz w:val="16"/>
                <w:szCs w:val="16"/>
              </w:rPr>
            </w:pPr>
          </w:p>
        </w:tc>
      </w:tr>
      <w:tr w:rsidR="002A0457" w:rsidRPr="002A0457" w:rsidTr="002A0457">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11</w:t>
            </w: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 МКУ "СБДХ"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sz w:val="16"/>
                <w:szCs w:val="16"/>
              </w:rPr>
            </w:pPr>
            <w:r w:rsidRPr="002A0457">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sz w:val="16"/>
                <w:szCs w:val="16"/>
              </w:rPr>
            </w:pPr>
            <w:r w:rsidRPr="002A0457">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sz w:val="16"/>
                <w:szCs w:val="16"/>
              </w:rPr>
            </w:pPr>
            <w:r w:rsidRPr="002A0457">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sz w:val="16"/>
                <w:szCs w:val="16"/>
              </w:rPr>
            </w:pPr>
            <w:r w:rsidRPr="002A0457">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676 578,41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101 117,08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209 068,90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467 509,51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476 981,51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101 117,08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467 509,51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sz w:val="16"/>
                <w:szCs w:val="16"/>
              </w:rPr>
            </w:pPr>
            <w:r w:rsidRPr="002A0457">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sz w:val="16"/>
                <w:szCs w:val="16"/>
              </w:rPr>
            </w:pPr>
            <w:r w:rsidRPr="002A0457">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sz w:val="16"/>
                <w:szCs w:val="16"/>
              </w:rPr>
            </w:pPr>
            <w:r w:rsidRPr="002A0457">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sz w:val="16"/>
                <w:szCs w:val="16"/>
              </w:rPr>
            </w:pPr>
            <w:r w:rsidRPr="002A0457">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sz w:val="16"/>
                <w:szCs w:val="16"/>
              </w:rPr>
            </w:pPr>
            <w:r w:rsidRPr="002A0457">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sz w:val="16"/>
                <w:szCs w:val="16"/>
              </w:rPr>
            </w:pPr>
            <w:r w:rsidRPr="002A0457">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sz w:val="16"/>
                <w:szCs w:val="16"/>
              </w:rPr>
            </w:pPr>
            <w:r w:rsidRPr="002A0457">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b/>
                <w:bCs/>
                <w:color w:val="000000"/>
                <w:sz w:val="16"/>
                <w:szCs w:val="16"/>
              </w:rPr>
            </w:pPr>
            <w:r w:rsidRPr="002A0457">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b/>
                <w:bCs/>
                <w:color w:val="000000"/>
                <w:sz w:val="16"/>
                <w:szCs w:val="16"/>
              </w:rPr>
            </w:pPr>
            <w:r w:rsidRPr="002A0457">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b/>
                <w:bCs/>
                <w:color w:val="000000"/>
                <w:sz w:val="16"/>
                <w:szCs w:val="16"/>
              </w:rPr>
            </w:pPr>
            <w:r w:rsidRPr="002A0457">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УГЖКХ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Администрация городского округа Электросталь Московской области</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X</w:t>
            </w: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D0D0D"/>
                <w:sz w:val="16"/>
                <w:szCs w:val="16"/>
              </w:rPr>
            </w:pPr>
            <w:r w:rsidRPr="002A0457">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1 361 810,28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558 387,57</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299 245,30</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Х</w:t>
            </w:r>
          </w:p>
        </w:tc>
      </w:tr>
      <w:tr w:rsidR="002A0457" w:rsidRPr="002A0457" w:rsidTr="002A0457">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380 148,14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00000"/>
                <w:sz w:val="16"/>
                <w:szCs w:val="16"/>
              </w:rPr>
            </w:pPr>
            <w:r w:rsidRPr="002A0457">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981 662,14</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546 826,43</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285 605,62</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16"/>
                <w:szCs w:val="16"/>
              </w:rPr>
            </w:pPr>
          </w:p>
        </w:tc>
      </w:tr>
      <w:tr w:rsidR="002A0457" w:rsidRPr="002A0457" w:rsidTr="002A0457">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A0457" w:rsidRPr="002A0457" w:rsidRDefault="002A0457" w:rsidP="002A0457">
            <w:pPr>
              <w:rPr>
                <w:rFonts w:cs="Times New Roman"/>
                <w:color w:val="000000"/>
                <w:sz w:val="20"/>
                <w:szCs w:val="20"/>
              </w:rPr>
            </w:pPr>
            <w:r w:rsidRPr="002A0457">
              <w:rPr>
                <w:rFonts w:cs="Times New Roman"/>
                <w:color w:val="000000"/>
                <w:sz w:val="20"/>
                <w:szCs w:val="20"/>
              </w:rPr>
              <w:t>В том числе по главным распорядителям бюджетных средств:</w:t>
            </w: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ascii="Calibri" w:hAnsi="Calibri" w:cs="Calibri"/>
                <w:color w:val="000000"/>
              </w:rPr>
            </w:pPr>
            <w:r w:rsidRPr="002A0457">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20"/>
                <w:szCs w:val="20"/>
              </w:rPr>
            </w:pPr>
            <w:r w:rsidRPr="002A0457">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ascii="Calibri" w:hAnsi="Calibri" w:cs="Calibri"/>
                <w:color w:val="000000"/>
              </w:rPr>
            </w:pPr>
            <w:r w:rsidRPr="002A0457">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1 361 560,28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558 387,57</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299 245,30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20"/>
                <w:szCs w:val="20"/>
              </w:rPr>
            </w:pPr>
            <w:r w:rsidRPr="002A0457">
              <w:rPr>
                <w:rFonts w:cs="Times New Roman"/>
                <w:color w:val="000000"/>
                <w:sz w:val="20"/>
                <w:szCs w:val="20"/>
              </w:rPr>
              <w:t>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379 898,14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981 662,14</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546 826,43</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285 605,62</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r>
      <w:tr w:rsidR="002A0457" w:rsidRPr="002A0457" w:rsidTr="002A045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ascii="Calibri" w:hAnsi="Calibri" w:cs="Calibri"/>
                <w:color w:val="000000"/>
              </w:rPr>
            </w:pPr>
            <w:r w:rsidRPr="002A0457">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A0457" w:rsidRPr="002A0457" w:rsidRDefault="002A0457" w:rsidP="002A0457">
            <w:pPr>
              <w:jc w:val="center"/>
              <w:rPr>
                <w:rFonts w:cs="Times New Roman"/>
                <w:color w:val="000000"/>
                <w:sz w:val="20"/>
                <w:szCs w:val="20"/>
              </w:rPr>
            </w:pPr>
            <w:r w:rsidRPr="002A0457">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ascii="Calibri" w:hAnsi="Calibri" w:cs="Calibri"/>
                <w:color w:val="000000"/>
              </w:rPr>
            </w:pPr>
            <w:r w:rsidRPr="002A0457">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A0457" w:rsidRPr="002A0457" w:rsidRDefault="002A0457" w:rsidP="002A0457">
            <w:pPr>
              <w:jc w:val="center"/>
              <w:rPr>
                <w:rFonts w:cs="Times New Roman"/>
                <w:color w:val="000000"/>
                <w:sz w:val="20"/>
                <w:szCs w:val="20"/>
              </w:rPr>
            </w:pPr>
            <w:r w:rsidRPr="002A0457">
              <w:rPr>
                <w:rFonts w:cs="Times New Roman"/>
                <w:color w:val="000000"/>
                <w:sz w:val="20"/>
                <w:szCs w:val="20"/>
              </w:rPr>
              <w:t>Х</w:t>
            </w:r>
          </w:p>
        </w:tc>
      </w:tr>
      <w:tr w:rsidR="002A0457" w:rsidRPr="002A0457" w:rsidTr="002A0457">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r>
      <w:tr w:rsidR="002A0457" w:rsidRPr="002A0457" w:rsidTr="002A0457">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2A0457" w:rsidRPr="002A0457" w:rsidRDefault="002A0457" w:rsidP="002A0457">
            <w:pPr>
              <w:rPr>
                <w:rFonts w:cs="Times New Roman"/>
                <w:color w:val="0D0D0D"/>
                <w:sz w:val="16"/>
                <w:szCs w:val="16"/>
              </w:rPr>
            </w:pPr>
            <w:r w:rsidRPr="002A0457">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A0457" w:rsidRPr="002A0457" w:rsidRDefault="002A0457" w:rsidP="002A0457">
            <w:pPr>
              <w:jc w:val="center"/>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A0457" w:rsidRPr="002A0457" w:rsidRDefault="002A0457" w:rsidP="002A0457">
            <w:pPr>
              <w:jc w:val="right"/>
              <w:rPr>
                <w:rFonts w:cs="Times New Roman"/>
                <w:color w:val="000000"/>
                <w:sz w:val="16"/>
                <w:szCs w:val="16"/>
              </w:rPr>
            </w:pPr>
            <w:r w:rsidRPr="002A0457">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A0457" w:rsidRPr="002A0457" w:rsidRDefault="002A0457" w:rsidP="002A0457">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Теплообменники и насосное оборудование на ЦТП 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Насос сетевой Д 320/50(3шт.-50,55,48кВт)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Котельная (2-й этап) сельское поселение Степановское, село 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04193D">
        <w:rPr>
          <w:rFonts w:cs="Times New Roman"/>
          <w:b/>
          <w:bCs/>
        </w:rPr>
        <w:t>6.</w:t>
      </w:r>
      <w:r w:rsidR="00325135" w:rsidRPr="0004193D">
        <w:rPr>
          <w:rFonts w:cs="Times New Roman"/>
          <w:b/>
          <w:bCs/>
        </w:rPr>
        <w:t>2</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136 800,51</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04193D" w:rsidP="00CC69D6">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129 960,49</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6 840,02</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D2743D" w:rsidRPr="00325135" w:rsidTr="007A0984">
        <w:trPr>
          <w:trHeight w:val="281"/>
        </w:trPr>
        <w:tc>
          <w:tcPr>
            <w:tcW w:w="2121" w:type="pct"/>
            <w:gridSpan w:val="7"/>
            <w:vMerge w:val="restart"/>
          </w:tcPr>
          <w:p w:rsidR="00D2743D" w:rsidRPr="00325135" w:rsidRDefault="00D2743D"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77 475,69</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512 937,50</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136 800,51</w:t>
            </w:r>
          </w:p>
        </w:tc>
        <w:tc>
          <w:tcPr>
            <w:tcW w:w="332"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tcPr>
          <w:p w:rsidR="00D2743D" w:rsidRPr="00325135" w:rsidRDefault="00D2743D" w:rsidP="00CC69D6">
            <w:pPr>
              <w:jc w:val="center"/>
              <w:rPr>
                <w:rFonts w:cs="Times New Roman"/>
                <w:sz w:val="16"/>
                <w:szCs w:val="16"/>
              </w:rPr>
            </w:pPr>
            <w:r w:rsidRPr="00325135">
              <w:rPr>
                <w:rFonts w:cs="Times New Roman"/>
                <w:sz w:val="16"/>
                <w:szCs w:val="16"/>
              </w:rPr>
              <w:t>-</w:t>
            </w:r>
          </w:p>
        </w:tc>
      </w:tr>
      <w:tr w:rsidR="00D2743D" w:rsidRPr="00325135" w:rsidTr="00E935BE">
        <w:trPr>
          <w:trHeight w:val="265"/>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55 092,43</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487 290,63</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129 960,49</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vMerge w:val="restart"/>
            <w:shd w:val="clear" w:color="auto" w:fill="auto"/>
            <w:noWrap/>
          </w:tcPr>
          <w:p w:rsidR="00D2743D" w:rsidRPr="00325135" w:rsidRDefault="00D2743D" w:rsidP="00CC69D6">
            <w:pPr>
              <w:jc w:val="center"/>
              <w:rPr>
                <w:rFonts w:cs="Times New Roman"/>
                <w:sz w:val="16"/>
                <w:szCs w:val="16"/>
              </w:rPr>
            </w:pPr>
            <w:r>
              <w:rPr>
                <w:rFonts w:cs="Times New Roman"/>
                <w:sz w:val="16"/>
                <w:szCs w:val="16"/>
              </w:rPr>
              <w:t>-</w:t>
            </w:r>
          </w:p>
        </w:tc>
      </w:tr>
      <w:tr w:rsidR="00D2743D" w:rsidRPr="00672E78" w:rsidTr="00E935BE">
        <w:trPr>
          <w:trHeight w:val="960"/>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4 799,26</w:t>
            </w:r>
          </w:p>
        </w:tc>
        <w:tc>
          <w:tcPr>
            <w:tcW w:w="332" w:type="pct"/>
            <w:shd w:val="clear" w:color="auto" w:fill="auto"/>
          </w:tcPr>
          <w:p w:rsidR="00D2743D" w:rsidRPr="00325135" w:rsidRDefault="00D2743D"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25 646,87</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6 840,02</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vMerge/>
            <w:shd w:val="clear" w:color="auto" w:fill="auto"/>
            <w:noWrap/>
          </w:tcPr>
          <w:p w:rsidR="00D2743D" w:rsidRPr="00672E78" w:rsidRDefault="00D2743D" w:rsidP="00CC69D6">
            <w:pPr>
              <w:jc w:val="center"/>
              <w:rPr>
                <w:rFonts w:cs="Times New Roman"/>
                <w:sz w:val="16"/>
                <w:szCs w:val="16"/>
              </w:rPr>
            </w:pPr>
          </w:p>
        </w:tc>
      </w:tr>
      <w:tr w:rsidR="00D2743D" w:rsidRPr="00672E78" w:rsidTr="00E935BE">
        <w:trPr>
          <w:trHeight w:val="497"/>
        </w:trPr>
        <w:tc>
          <w:tcPr>
            <w:tcW w:w="2121" w:type="pct"/>
            <w:gridSpan w:val="7"/>
            <w:vMerge/>
          </w:tcPr>
          <w:p w:rsidR="00D2743D" w:rsidRPr="00325135" w:rsidRDefault="00D2743D" w:rsidP="00CC69D6">
            <w:pPr>
              <w:jc w:val="center"/>
              <w:rPr>
                <w:rFonts w:cs="Times New Roman"/>
                <w:sz w:val="16"/>
                <w:szCs w:val="16"/>
              </w:rPr>
            </w:pPr>
          </w:p>
        </w:tc>
        <w:tc>
          <w:tcPr>
            <w:tcW w:w="332" w:type="pct"/>
            <w:shd w:val="clear" w:color="auto" w:fill="auto"/>
            <w:noWrap/>
          </w:tcPr>
          <w:p w:rsidR="00D2743D" w:rsidRPr="00325135" w:rsidRDefault="00D2743D" w:rsidP="00CC69D6">
            <w:pPr>
              <w:jc w:val="center"/>
              <w:rPr>
                <w:rFonts w:cs="Times New Roman"/>
                <w:sz w:val="16"/>
                <w:szCs w:val="16"/>
              </w:rPr>
            </w:pPr>
            <w:r>
              <w:rPr>
                <w:rFonts w:cs="Times New Roman"/>
                <w:sz w:val="16"/>
                <w:szCs w:val="16"/>
              </w:rPr>
              <w:t>17 584,00</w:t>
            </w:r>
          </w:p>
        </w:tc>
        <w:tc>
          <w:tcPr>
            <w:tcW w:w="332" w:type="pct"/>
            <w:shd w:val="clear" w:color="auto" w:fill="auto"/>
          </w:tcPr>
          <w:p w:rsidR="00D2743D" w:rsidRPr="00325135" w:rsidRDefault="00D2743D"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212"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77" w:type="pct"/>
            <w:shd w:val="clear" w:color="auto" w:fill="auto"/>
            <w:noWrap/>
          </w:tcPr>
          <w:p w:rsidR="00D2743D" w:rsidRPr="00325135" w:rsidRDefault="00D2743D" w:rsidP="00DA0719">
            <w:pPr>
              <w:jc w:val="center"/>
              <w:rPr>
                <w:rFonts w:cs="Times New Roman"/>
                <w:sz w:val="16"/>
                <w:szCs w:val="16"/>
              </w:rPr>
            </w:pPr>
            <w:r>
              <w:rPr>
                <w:rFonts w:cs="Times New Roman"/>
                <w:sz w:val="16"/>
                <w:szCs w:val="16"/>
              </w:rPr>
              <w:t>0,00</w:t>
            </w:r>
          </w:p>
        </w:tc>
        <w:tc>
          <w:tcPr>
            <w:tcW w:w="332"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tcPr>
          <w:p w:rsidR="00D2743D" w:rsidRPr="00325135" w:rsidRDefault="00D2743D" w:rsidP="00DA0719">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tcPr>
          <w:p w:rsidR="00D2743D" w:rsidRPr="00325135" w:rsidRDefault="00D2743D" w:rsidP="00DA0719">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tcPr>
          <w:p w:rsidR="00D2743D" w:rsidRPr="00672E78" w:rsidRDefault="00D2743D"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100" w:type="dxa"/>
        <w:tblLook w:val="04A0" w:firstRow="1" w:lastRow="0" w:firstColumn="1" w:lastColumn="0" w:noHBand="0" w:noVBand="1"/>
      </w:tblPr>
      <w:tblGrid>
        <w:gridCol w:w="480"/>
        <w:gridCol w:w="2960"/>
        <w:gridCol w:w="1103"/>
        <w:gridCol w:w="1780"/>
        <w:gridCol w:w="1200"/>
        <w:gridCol w:w="980"/>
        <w:gridCol w:w="1000"/>
        <w:gridCol w:w="960"/>
        <w:gridCol w:w="980"/>
        <w:gridCol w:w="1100"/>
        <w:gridCol w:w="1557"/>
      </w:tblGrid>
      <w:tr w:rsidR="00881140" w:rsidRPr="00881140" w:rsidTr="00881140">
        <w:trPr>
          <w:trHeight w:val="330"/>
        </w:trPr>
        <w:tc>
          <w:tcPr>
            <w:tcW w:w="48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Мероприятие Подпрограммы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120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 (тыс. руб.)</w:t>
            </w:r>
          </w:p>
        </w:tc>
        <w:tc>
          <w:tcPr>
            <w:tcW w:w="5020" w:type="dxa"/>
            <w:gridSpan w:val="5"/>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Объемы финансирования по годам (тыс. руб.)</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Ответственный за выполнение мероприятия </w:t>
            </w:r>
          </w:p>
        </w:tc>
      </w:tr>
      <w:tr w:rsidR="00881140" w:rsidRPr="00881140" w:rsidTr="00881140">
        <w:trPr>
          <w:trHeight w:val="420"/>
        </w:trPr>
        <w:tc>
          <w:tcPr>
            <w:tcW w:w="48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20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10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17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1200" w:type="dxa"/>
            <w:tcBorders>
              <w:top w:val="single" w:sz="4" w:space="0" w:color="auto"/>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6</w:t>
            </w:r>
          </w:p>
        </w:tc>
        <w:tc>
          <w:tcPr>
            <w:tcW w:w="10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11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15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Основное мероприятие 01. Создание условий для реализации полномочий органов местного самоуправления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17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12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975"/>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01.01. Обеспечение деятельности муниципальных органов - учреждения в сфере жилищно-коммунального хозяйства</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1005"/>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99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2 921,00</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Всего по Подпрограмме VII</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1410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color w:val="000000"/>
                <w:sz w:val="18"/>
                <w:szCs w:val="18"/>
                <w:lang w:eastAsia="zh-CN"/>
              </w:rPr>
            </w:pPr>
            <w:r w:rsidRPr="00881140">
              <w:rPr>
                <w:rFonts w:cs="Times New Roman"/>
                <w:color w:val="000000"/>
                <w:sz w:val="18"/>
                <w:szCs w:val="18"/>
                <w:lang w:eastAsia="zh-CN"/>
              </w:rPr>
              <w:t>В том числе по главным распорядителям бюджетных средств:</w:t>
            </w:r>
          </w:p>
        </w:tc>
      </w:tr>
      <w:tr w:rsidR="00881140" w:rsidRPr="00881140" w:rsidTr="00881140">
        <w:trPr>
          <w:trHeight w:val="288"/>
        </w:trPr>
        <w:tc>
          <w:tcPr>
            <w:tcW w:w="48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color w:val="000000"/>
                <w:lang w:eastAsia="zh-CN"/>
              </w:rPr>
            </w:pPr>
            <w:r w:rsidRPr="00881140">
              <w:rPr>
                <w:rFonts w:ascii="Calibri" w:hAnsi="Calibri" w:cs="Calibri"/>
                <w:color w:val="000000"/>
                <w:sz w:val="22"/>
                <w:szCs w:val="22"/>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color w:val="000000"/>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366293" w:rsidRPr="007A7FD4" w:rsidTr="007B4E6B">
        <w:trPr>
          <w:trHeight w:val="435"/>
        </w:trPr>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6</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366293" w:rsidRPr="007A7FD4" w:rsidTr="007B4E6B">
        <w:trPr>
          <w:trHeight w:val="435"/>
        </w:trPr>
        <w:tc>
          <w:tcPr>
            <w:tcW w:w="534" w:type="dxa"/>
            <w:vMerge/>
            <w:tcBorders>
              <w:bottom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366293" w:rsidRPr="007A7FD4" w:rsidTr="007B4E6B">
        <w:trPr>
          <w:trHeight w:val="278"/>
        </w:trPr>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7</w:t>
            </w:r>
            <w:r w:rsidR="00366293" w:rsidRPr="007A7FD4">
              <w:rPr>
                <w:rFonts w:ascii="Times New Roman" w:eastAsia="Calibri" w:hAnsi="Times New Roman" w:cs="Times New Roman"/>
                <w:lang w:val="en-US"/>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366293" w:rsidRPr="007A7FD4" w:rsidTr="007B4E6B">
        <w:trPr>
          <w:trHeight w:val="278"/>
        </w:trPr>
        <w:tc>
          <w:tcPr>
            <w:tcW w:w="534" w:type="dxa"/>
            <w:vMerge/>
            <w:tcBorders>
              <w:bottom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366293" w:rsidRPr="00A53390" w:rsidRDefault="00366293"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366293" w:rsidRPr="007A7FD4" w:rsidRDefault="00366293"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366293"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8</w:t>
            </w:r>
            <w:r w:rsidR="00366293"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366293"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366293"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9</w:t>
            </w:r>
            <w:r w:rsidR="00366293"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366293"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193A0E" w:rsidRDefault="00366293"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366293"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0</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1</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2</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00BC07CA">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00BC07CA">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366293"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DA0719">
            <w:pPr>
              <w:pStyle w:val="ConsPlusNormal"/>
              <w:jc w:val="center"/>
              <w:rPr>
                <w:rFonts w:ascii="Times New Roman" w:eastAsia="Calibri" w:hAnsi="Times New Roman" w:cs="Times New Roman"/>
              </w:rPr>
            </w:pPr>
            <w:r>
              <w:rPr>
                <w:rFonts w:ascii="Times New Roman" w:eastAsia="Calibri" w:hAnsi="Times New Roman" w:cs="Times New Roman"/>
              </w:rPr>
              <w:t>1</w:t>
            </w:r>
            <w:r w:rsidR="00BC07CA">
              <w:rPr>
                <w:rFonts w:ascii="Times New Roman" w:eastAsia="Calibri" w:hAnsi="Times New Roman" w:cs="Times New Roman"/>
              </w:rPr>
              <w:t>5</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p w:rsidR="00366293" w:rsidRPr="007A7FD4" w:rsidRDefault="00366293"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p w:rsidR="00366293" w:rsidRPr="00193A0E" w:rsidRDefault="00366293"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1"/>
              <w:spacing w:after="0" w:line="240" w:lineRule="auto"/>
              <w:rPr>
                <w:sz w:val="20"/>
                <w:szCs w:val="20"/>
              </w:rPr>
            </w:pPr>
            <w:r w:rsidRPr="00193A0E">
              <w:rPr>
                <w:sz w:val="20"/>
                <w:szCs w:val="20"/>
              </w:rPr>
              <w:t>Кпуоп = Кпуn - Кпуn-1, где:</w:t>
            </w:r>
          </w:p>
          <w:p w:rsidR="00366293" w:rsidRPr="00193A0E" w:rsidRDefault="00366293"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366293" w:rsidRPr="00193A0E" w:rsidRDefault="00366293" w:rsidP="007B4E6B">
            <w:pPr>
              <w:pStyle w:val="ConsPlusNormal1"/>
              <w:spacing w:after="0" w:line="240" w:lineRule="auto"/>
              <w:rPr>
                <w:sz w:val="20"/>
                <w:szCs w:val="20"/>
              </w:rPr>
            </w:pPr>
            <w:r w:rsidRPr="00193A0E">
              <w:rPr>
                <w:sz w:val="20"/>
                <w:szCs w:val="20"/>
              </w:rPr>
              <w:t>в отчетном периоде, единица;</w:t>
            </w:r>
          </w:p>
          <w:p w:rsidR="00366293" w:rsidRPr="00193A0E" w:rsidRDefault="00366293"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366293" w:rsidRPr="00193A0E" w:rsidRDefault="00366293"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Pr>
                <w:rFonts w:ascii="Times New Roman" w:eastAsia="Calibri" w:hAnsi="Times New Roman" w:cs="Times New Roman"/>
              </w:rPr>
              <w:t>1</w:t>
            </w:r>
            <w:r w:rsidR="00BC07CA">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366293" w:rsidRPr="00193A0E" w:rsidRDefault="00366293"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sidR="00BC07CA">
              <w:rPr>
                <w:rFonts w:ascii="Times New Roman" w:eastAsia="Calibri" w:hAnsi="Times New Roman" w:cs="Times New Roman"/>
              </w:rPr>
              <w:t>7</w:t>
            </w:r>
            <w:r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366293" w:rsidRPr="007A7FD4" w:rsidRDefault="00366293"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eastAsia="Calibri" w:cs="Times New Roman"/>
                <w:sz w:val="20"/>
                <w:szCs w:val="20"/>
              </w:rPr>
            </w:pPr>
            <w:r w:rsidRPr="00193A0E">
              <w:rPr>
                <w:rFonts w:eastAsia="Calibri" w:cs="Times New Roman"/>
                <w:sz w:val="20"/>
                <w:szCs w:val="20"/>
              </w:rPr>
              <w:t>Кмкдоп = Кмкдn - Кмкдn-1, где:</w:t>
            </w:r>
          </w:p>
          <w:p w:rsidR="00366293" w:rsidRPr="00193A0E" w:rsidRDefault="00366293"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366293" w:rsidRPr="00193A0E" w:rsidRDefault="00366293"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366293" w:rsidRPr="00193A0E" w:rsidRDefault="00366293"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366293" w:rsidRPr="00193A0E" w:rsidRDefault="00366293" w:rsidP="007B4E6B">
            <w:pPr>
              <w:rPr>
                <w:rFonts w:eastAsia="Calibri" w:cs="Times New Roman"/>
                <w:sz w:val="20"/>
                <w:szCs w:val="20"/>
              </w:rPr>
            </w:pPr>
          </w:p>
        </w:tc>
      </w:tr>
      <w:tr w:rsidR="00366293"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1</w:t>
            </w:r>
            <w:r w:rsidR="00BC07CA">
              <w:rPr>
                <w:rFonts w:ascii="Times New Roman" w:eastAsia="Calibri" w:hAnsi="Times New Roman" w:cs="Times New Roman"/>
              </w:rPr>
              <w:t>8</w:t>
            </w:r>
            <w:r w:rsidRPr="007A7FD4">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366293"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BC07CA" w:rsidP="007B4E6B">
            <w:pPr>
              <w:pStyle w:val="ConsPlusNormal"/>
              <w:jc w:val="center"/>
              <w:rPr>
                <w:rFonts w:ascii="Times New Roman" w:eastAsia="Calibri" w:hAnsi="Times New Roman" w:cs="Times New Roman"/>
              </w:rPr>
            </w:pPr>
            <w:r>
              <w:rPr>
                <w:rFonts w:ascii="Times New Roman" w:eastAsia="Calibri" w:hAnsi="Times New Roman" w:cs="Times New Roman"/>
              </w:rPr>
              <w:t>19</w:t>
            </w:r>
            <w:r w:rsidR="00366293"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7A7FD4" w:rsidRDefault="00366293"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366293"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AC45A9" w:rsidRDefault="00366293"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366293"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BC07CA">
            <w:pPr>
              <w:pStyle w:val="ConsPlusNormal"/>
              <w:jc w:val="center"/>
              <w:rPr>
                <w:rFonts w:ascii="Times New Roman" w:eastAsia="Calibri" w:hAnsi="Times New Roman" w:cs="Times New Roman"/>
              </w:rPr>
            </w:pPr>
            <w:r>
              <w:rPr>
                <w:rFonts w:ascii="Times New Roman" w:eastAsia="Calibri" w:hAnsi="Times New Roman" w:cs="Times New Roman"/>
              </w:rPr>
              <w:t>2</w:t>
            </w:r>
            <w:r w:rsidR="00BC07CA">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sz w:val="20"/>
                <w:szCs w:val="20"/>
              </w:rPr>
              <w:t>Общее количество выданных предписаний</w:t>
            </w:r>
          </w:p>
        </w:tc>
      </w:tr>
      <w:tr w:rsidR="00366293"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66293" w:rsidRPr="00193A0E" w:rsidRDefault="00366293"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1F4109" w:rsidRDefault="0001778A" w:rsidP="0001778A">
      <w:pPr>
        <w:spacing w:line="240" w:lineRule="exact"/>
        <w:jc w:val="both"/>
        <w:rPr>
          <w:rFonts w:cs="Times New Roman"/>
        </w:rPr>
      </w:pPr>
      <w:r>
        <w:rPr>
          <w:rFonts w:cs="Times New Roman"/>
        </w:rPr>
        <w:t xml:space="preserve">Верно: </w:t>
      </w:r>
      <w:r w:rsidR="003533B6">
        <w:rPr>
          <w:rFonts w:cs="Times New Roman"/>
        </w:rPr>
        <w:t>Н</w:t>
      </w:r>
      <w:r w:rsidR="00A261EA">
        <w:rPr>
          <w:rFonts w:cs="Times New Roman"/>
        </w:rPr>
        <w:t>ачальник</w:t>
      </w:r>
      <w:r w:rsidR="00193A0E">
        <w:rPr>
          <w:rFonts w:cs="Times New Roman"/>
        </w:rPr>
        <w:t xml:space="preserve"> </w:t>
      </w:r>
      <w:r w:rsidR="003533B6">
        <w:rPr>
          <w:rFonts w:cs="Times New Roman"/>
        </w:rPr>
        <w:t>Управления                                                                                                                                                                В.А. Александрова</w:t>
      </w:r>
    </w:p>
    <w:p w:rsidR="0001778A" w:rsidRDefault="0001778A" w:rsidP="0001778A">
      <w:pPr>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D151A3">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0FF" w:rsidRDefault="00DA10FF" w:rsidP="006E0EF0">
      <w:r>
        <w:separator/>
      </w:r>
    </w:p>
  </w:endnote>
  <w:endnote w:type="continuationSeparator" w:id="0">
    <w:p w:rsidR="00DA10FF" w:rsidRDefault="00DA10F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0FF" w:rsidRDefault="00DA10FF" w:rsidP="006E0EF0">
      <w:r>
        <w:separator/>
      </w:r>
    </w:p>
  </w:footnote>
  <w:footnote w:type="continuationSeparator" w:id="0">
    <w:p w:rsidR="00DA10FF" w:rsidRDefault="00DA10F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2A0457" w:rsidRDefault="00B6256A">
        <w:pPr>
          <w:pStyle w:val="a4"/>
          <w:jc w:val="center"/>
        </w:pPr>
        <w:r>
          <w:rPr>
            <w:noProof/>
          </w:rPr>
          <w:fldChar w:fldCharType="begin"/>
        </w:r>
        <w:r w:rsidR="002A0457">
          <w:rPr>
            <w:noProof/>
          </w:rPr>
          <w:instrText>PAGE   \* MERGEFORMAT</w:instrText>
        </w:r>
        <w:r>
          <w:rPr>
            <w:noProof/>
          </w:rPr>
          <w:fldChar w:fldCharType="separate"/>
        </w:r>
        <w:r w:rsidR="00AE0209">
          <w:rPr>
            <w:noProof/>
          </w:rPr>
          <w:t>2</w:t>
        </w:r>
        <w:r>
          <w:rPr>
            <w:noProof/>
          </w:rPr>
          <w:fldChar w:fldCharType="end"/>
        </w:r>
      </w:p>
    </w:sdtContent>
  </w:sdt>
  <w:p w:rsidR="002A0457" w:rsidRPr="00F80A47" w:rsidRDefault="002A0457"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457" w:rsidRDefault="002A0457">
    <w:pPr>
      <w:jc w:val="center"/>
    </w:pPr>
  </w:p>
  <w:p w:rsidR="002A0457" w:rsidRDefault="002A04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1FE8"/>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132"/>
    <w:rsid w:val="002F6B98"/>
    <w:rsid w:val="002F7079"/>
    <w:rsid w:val="002F7AA3"/>
    <w:rsid w:val="00300ECE"/>
    <w:rsid w:val="0030137D"/>
    <w:rsid w:val="0030160D"/>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AFD"/>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209"/>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1F4A"/>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56A"/>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9E0"/>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9474F63D-8F3B-4F84-A501-2C996513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A8A1-5FEC-47C4-A614-6A7BDD14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41</Pages>
  <Words>11511</Words>
  <Characters>65616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11</cp:revision>
  <cp:lastPrinted>2024-05-13T12:50:00Z</cp:lastPrinted>
  <dcterms:created xsi:type="dcterms:W3CDTF">2024-04-27T06:20:00Z</dcterms:created>
  <dcterms:modified xsi:type="dcterms:W3CDTF">2024-05-17T13:41:00Z</dcterms:modified>
</cp:coreProperties>
</file>