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ПЭ-ЭС/25-1819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00200190102421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30.04.2025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07.07.2025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09.07.2025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09.07.2025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ПЭ-ЭС/25-1819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8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30.04.2025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07.07.2025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07.07.2025 в 18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09.07.2025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09.07.2025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09.07.2025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