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906697" w:rsidRDefault="006D6DE6" w:rsidP="006D6DE6">
      <w:pPr>
        <w:ind w:left="-1560" w:right="-567"/>
        <w:contextualSpacing/>
        <w:jc w:val="center"/>
        <w:rPr>
          <w:sz w:val="44"/>
          <w:szCs w:val="44"/>
        </w:rPr>
      </w:pPr>
      <w:r w:rsidRPr="00906697">
        <w:rPr>
          <w:sz w:val="44"/>
          <w:szCs w:val="44"/>
        </w:rPr>
        <w:t>ПОСТАНОВЛЕНИЕ</w:t>
      </w:r>
    </w:p>
    <w:p w14:paraId="49104B2A" w14:textId="77777777" w:rsidR="006D6DE6" w:rsidRPr="00906697" w:rsidRDefault="006D6DE6" w:rsidP="006D6DE6">
      <w:pPr>
        <w:ind w:left="-1560" w:right="-567"/>
        <w:jc w:val="center"/>
        <w:rPr>
          <w:sz w:val="44"/>
          <w:szCs w:val="44"/>
        </w:rPr>
      </w:pPr>
    </w:p>
    <w:p w14:paraId="226507FD" w14:textId="58BA6A02" w:rsidR="006D6DE6" w:rsidRPr="008E2E70" w:rsidRDefault="009F60F5" w:rsidP="00906697">
      <w:pPr>
        <w:ind w:left="-1560" w:right="-567"/>
        <w:jc w:val="center"/>
        <w:outlineLvl w:val="0"/>
      </w:pPr>
      <w:r w:rsidRPr="00906697">
        <w:t>26.02.2024</w:t>
      </w:r>
      <w:r w:rsidR="006D6DE6" w:rsidRPr="008E2E70">
        <w:t xml:space="preserve"> № </w:t>
      </w:r>
      <w:r w:rsidRPr="00906697">
        <w:t>134/2</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3E56CA12" w:rsidR="00782CC7" w:rsidRPr="00906697" w:rsidRDefault="005C0B03" w:rsidP="00906697">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906697">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0281C558" w14:textId="77777777" w:rsidR="00906697" w:rsidRPr="00A6718C" w:rsidRDefault="0090669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3ACA1295"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Pr="00A6718C">
        <w:rPr>
          <w:rFonts w:cs="Times New Roman"/>
        </w:rPr>
        <w:t>), изложив ее в новой редакции согласно приложению к настоящему постановлению.</w:t>
      </w:r>
    </w:p>
    <w:p w14:paraId="60AF5A55" w14:textId="3B16C153"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906697" w:rsidRDefault="00782CC7" w:rsidP="00782CC7">
      <w:pPr>
        <w:autoSpaceDE w:val="0"/>
        <w:autoSpaceDN w:val="0"/>
        <w:adjustRightInd w:val="0"/>
        <w:jc w:val="both"/>
      </w:pPr>
    </w:p>
    <w:p w14:paraId="68CF097C" w14:textId="77777777" w:rsidR="00782CC7" w:rsidRDefault="00782CC7" w:rsidP="00CF6620">
      <w:pPr>
        <w:tabs>
          <w:tab w:val="left" w:pos="3402"/>
        </w:tabs>
        <w:autoSpaceDE w:val="0"/>
        <w:autoSpaceDN w:val="0"/>
        <w:adjustRightInd w:val="0"/>
        <w:jc w:val="both"/>
      </w:pPr>
    </w:p>
    <w:p w14:paraId="73035D19" w14:textId="77777777" w:rsidR="00906697" w:rsidRPr="00906697" w:rsidRDefault="00906697" w:rsidP="00CF6620">
      <w:pPr>
        <w:tabs>
          <w:tab w:val="left" w:pos="3402"/>
        </w:tabs>
        <w:autoSpaceDE w:val="0"/>
        <w:autoSpaceDN w:val="0"/>
        <w:adjustRightInd w:val="0"/>
        <w:jc w:val="both"/>
      </w:pPr>
    </w:p>
    <w:p w14:paraId="69ABBEF9" w14:textId="77777777" w:rsidR="00782CC7" w:rsidRPr="00906697" w:rsidRDefault="00782CC7" w:rsidP="00782CC7">
      <w:pPr>
        <w:autoSpaceDE w:val="0"/>
        <w:autoSpaceDN w:val="0"/>
        <w:adjustRightInd w:val="0"/>
        <w:jc w:val="both"/>
      </w:pPr>
    </w:p>
    <w:p w14:paraId="7CCA49FE" w14:textId="77777777" w:rsidR="00203B44" w:rsidRPr="00906697"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63178104"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18A5DD2A" w:rsidR="00DB74B1" w:rsidRDefault="005C0B03" w:rsidP="00740DB4">
      <w:pPr>
        <w:tabs>
          <w:tab w:val="left" w:pos="851"/>
        </w:tabs>
        <w:ind w:left="8647"/>
        <w:jc w:val="both"/>
      </w:pPr>
      <w:r w:rsidRPr="00260A19">
        <w:lastRenderedPageBreak/>
        <w:t>Приложени</w:t>
      </w:r>
      <w:r w:rsidR="00906697">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2B5B1167" w:rsidR="005C0B03" w:rsidRPr="00260A19" w:rsidRDefault="005C0B03" w:rsidP="00203B44">
      <w:pPr>
        <w:tabs>
          <w:tab w:val="left" w:pos="851"/>
        </w:tabs>
        <w:ind w:left="8647"/>
        <w:jc w:val="both"/>
      </w:pPr>
      <w:r w:rsidRPr="00260A19">
        <w:t xml:space="preserve">от </w:t>
      </w:r>
      <w:r w:rsidR="00906697" w:rsidRPr="00906697">
        <w:t>26.02.2024</w:t>
      </w:r>
      <w:r w:rsidR="00906697" w:rsidRPr="008E2E70">
        <w:t xml:space="preserve"> № </w:t>
      </w:r>
      <w:r w:rsidR="00906697" w:rsidRPr="00906697">
        <w:t>134/2</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F37405A" w:rsidR="008F6BD4" w:rsidRPr="00260A19" w:rsidRDefault="002E31F0" w:rsidP="00E169C3">
      <w:pPr>
        <w:tabs>
          <w:tab w:val="left" w:pos="851"/>
        </w:tabs>
        <w:ind w:left="8647"/>
        <w:jc w:val="both"/>
      </w:pPr>
      <w:r w:rsidRPr="00F9704D">
        <w:t>от 26.12.2023 №1708/12</w:t>
      </w:r>
      <w:r w:rsidR="000912A0">
        <w:t>, от 24.01.2024 № 51/1</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F67C8B">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A84A36" w:rsidRPr="00260A19" w14:paraId="6498BF73" w14:textId="77777777" w:rsidTr="00D14B4C">
        <w:tc>
          <w:tcPr>
            <w:tcW w:w="4957" w:type="dxa"/>
          </w:tcPr>
          <w:p w14:paraId="24FF40AA" w14:textId="77777777" w:rsidR="00A84A36" w:rsidRPr="00260A19" w:rsidRDefault="00A84A36" w:rsidP="00A84A36">
            <w:r w:rsidRPr="00260A19">
              <w:t>Средства бюджета городского округа Электросталь Московской области</w:t>
            </w:r>
          </w:p>
        </w:tc>
        <w:tc>
          <w:tcPr>
            <w:tcW w:w="1842" w:type="dxa"/>
            <w:vAlign w:val="center"/>
          </w:tcPr>
          <w:p w14:paraId="6F6086EE" w14:textId="1816C1C7" w:rsidR="00A84A36" w:rsidRPr="000C1CFA" w:rsidRDefault="00A84A36" w:rsidP="00A84A36">
            <w:pPr>
              <w:jc w:val="center"/>
              <w:rPr>
                <w:rFonts w:cs="Times New Roman"/>
                <w:color w:val="000000"/>
              </w:rPr>
            </w:pPr>
            <w:r w:rsidRPr="000C1CFA">
              <w:rPr>
                <w:rFonts w:cs="Times New Roman"/>
                <w:color w:val="000000"/>
              </w:rPr>
              <w:t>1 422 459,84</w:t>
            </w:r>
          </w:p>
        </w:tc>
        <w:tc>
          <w:tcPr>
            <w:tcW w:w="1843" w:type="dxa"/>
            <w:vAlign w:val="center"/>
          </w:tcPr>
          <w:p w14:paraId="65255C1C" w14:textId="55AA2FAB" w:rsidR="00A84A36" w:rsidRPr="000C1CFA" w:rsidRDefault="00A84A36" w:rsidP="00A84A36">
            <w:pPr>
              <w:jc w:val="center"/>
              <w:rPr>
                <w:rFonts w:cs="Times New Roman"/>
                <w:color w:val="000000"/>
              </w:rPr>
            </w:pPr>
            <w:r w:rsidRPr="000C1CFA">
              <w:rPr>
                <w:rFonts w:cs="Times New Roman"/>
                <w:color w:val="000000"/>
              </w:rPr>
              <w:t>340 212,65</w:t>
            </w:r>
          </w:p>
        </w:tc>
        <w:tc>
          <w:tcPr>
            <w:tcW w:w="1559" w:type="dxa"/>
            <w:vAlign w:val="center"/>
          </w:tcPr>
          <w:p w14:paraId="654B7D8E" w14:textId="3C14AF35" w:rsidR="00A84A36" w:rsidRPr="000C1CFA" w:rsidRDefault="00A84A36" w:rsidP="00A84A36">
            <w:pPr>
              <w:jc w:val="center"/>
              <w:rPr>
                <w:rFonts w:cs="Times New Roman"/>
                <w:color w:val="000000"/>
                <w:highlight w:val="yellow"/>
              </w:rPr>
            </w:pPr>
            <w:r w:rsidRPr="000C1CFA">
              <w:rPr>
                <w:rFonts w:cs="Times New Roman"/>
                <w:color w:val="000000"/>
              </w:rPr>
              <w:t>393 346,19</w:t>
            </w:r>
          </w:p>
        </w:tc>
        <w:tc>
          <w:tcPr>
            <w:tcW w:w="1701" w:type="dxa"/>
            <w:vAlign w:val="center"/>
          </w:tcPr>
          <w:p w14:paraId="1C1C9332" w14:textId="09D77467" w:rsidR="00A84A36" w:rsidRPr="000C1CFA" w:rsidRDefault="00A84A36" w:rsidP="00A84A36">
            <w:pPr>
              <w:jc w:val="center"/>
              <w:rPr>
                <w:rFonts w:cs="Times New Roman"/>
                <w:color w:val="000000"/>
              </w:rPr>
            </w:pPr>
            <w:r w:rsidRPr="000C1CFA">
              <w:rPr>
                <w:rFonts w:cs="Times New Roman"/>
                <w:color w:val="000000"/>
              </w:rPr>
              <w:t>210 225,00</w:t>
            </w:r>
          </w:p>
        </w:tc>
        <w:tc>
          <w:tcPr>
            <w:tcW w:w="1560" w:type="dxa"/>
            <w:vAlign w:val="center"/>
          </w:tcPr>
          <w:p w14:paraId="0F479A24" w14:textId="7BC9FADC" w:rsidR="00A84A36" w:rsidRPr="000C1CFA" w:rsidRDefault="00A84A36" w:rsidP="00A84A36">
            <w:pPr>
              <w:jc w:val="center"/>
              <w:rPr>
                <w:rFonts w:cs="Times New Roman"/>
                <w:color w:val="000000"/>
              </w:rPr>
            </w:pPr>
            <w:r w:rsidRPr="000C1CFA">
              <w:rPr>
                <w:rFonts w:cs="Times New Roman"/>
                <w:color w:val="000000"/>
              </w:rPr>
              <w:t>239 338,00</w:t>
            </w:r>
          </w:p>
        </w:tc>
        <w:tc>
          <w:tcPr>
            <w:tcW w:w="1559" w:type="dxa"/>
            <w:vAlign w:val="center"/>
          </w:tcPr>
          <w:p w14:paraId="48F11AAA" w14:textId="1F8BA41A" w:rsidR="00A84A36" w:rsidRPr="000C1CFA" w:rsidRDefault="00A84A36" w:rsidP="00A84A36">
            <w:pPr>
              <w:jc w:val="center"/>
              <w:rPr>
                <w:rFonts w:cs="Times New Roman"/>
                <w:color w:val="000000"/>
              </w:rPr>
            </w:pPr>
            <w:r w:rsidRPr="000C1CFA">
              <w:rPr>
                <w:rFonts w:cs="Times New Roman"/>
                <w:color w:val="000000"/>
              </w:rPr>
              <w:t>239 338,00</w:t>
            </w:r>
          </w:p>
        </w:tc>
      </w:tr>
      <w:tr w:rsidR="00A84A36" w:rsidRPr="00260A19" w14:paraId="0447863B" w14:textId="77777777" w:rsidTr="00D14B4C">
        <w:tc>
          <w:tcPr>
            <w:tcW w:w="4957" w:type="dxa"/>
          </w:tcPr>
          <w:p w14:paraId="52F59ADC" w14:textId="77777777" w:rsidR="00A84A36" w:rsidRPr="00260A19" w:rsidRDefault="00A84A36" w:rsidP="00A84A36">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83F69F8" w:rsidR="00A84A36" w:rsidRPr="000C1CFA" w:rsidRDefault="00A84A36" w:rsidP="00A84A36">
            <w:pPr>
              <w:jc w:val="center"/>
              <w:rPr>
                <w:rFonts w:cs="Times New Roman"/>
                <w:color w:val="000000"/>
              </w:rPr>
            </w:pPr>
            <w:r w:rsidRPr="000C1CFA">
              <w:rPr>
                <w:rFonts w:cs="Times New Roman"/>
                <w:color w:val="000000"/>
              </w:rPr>
              <w:t>82 425,00</w:t>
            </w:r>
          </w:p>
        </w:tc>
        <w:tc>
          <w:tcPr>
            <w:tcW w:w="1843" w:type="dxa"/>
            <w:vAlign w:val="center"/>
          </w:tcPr>
          <w:p w14:paraId="2231EEF7" w14:textId="2999531C" w:rsidR="00A84A36" w:rsidRPr="000C1CFA" w:rsidRDefault="00A84A36" w:rsidP="00A84A36">
            <w:pPr>
              <w:jc w:val="center"/>
              <w:rPr>
                <w:rFonts w:cs="Times New Roman"/>
                <w:color w:val="000000"/>
              </w:rPr>
            </w:pPr>
            <w:r w:rsidRPr="000C1CFA">
              <w:rPr>
                <w:rFonts w:cs="Times New Roman"/>
                <w:color w:val="000000"/>
              </w:rPr>
              <w:t>82 425,00</w:t>
            </w:r>
          </w:p>
        </w:tc>
        <w:tc>
          <w:tcPr>
            <w:tcW w:w="1559" w:type="dxa"/>
            <w:vAlign w:val="center"/>
          </w:tcPr>
          <w:p w14:paraId="70A93359" w14:textId="7A162748" w:rsidR="00A84A36" w:rsidRPr="000C1CFA" w:rsidRDefault="00A84A36" w:rsidP="00A84A36">
            <w:pPr>
              <w:jc w:val="center"/>
              <w:rPr>
                <w:rFonts w:cs="Times New Roman"/>
                <w:color w:val="000000"/>
              </w:rPr>
            </w:pPr>
            <w:r w:rsidRPr="000C1CFA">
              <w:rPr>
                <w:rFonts w:cs="Times New Roman"/>
                <w:color w:val="000000"/>
              </w:rPr>
              <w:t>0,00</w:t>
            </w:r>
          </w:p>
        </w:tc>
        <w:tc>
          <w:tcPr>
            <w:tcW w:w="1701" w:type="dxa"/>
            <w:vAlign w:val="center"/>
          </w:tcPr>
          <w:p w14:paraId="2623D153" w14:textId="3EEDF000" w:rsidR="00A84A36" w:rsidRPr="000C1CFA" w:rsidRDefault="00A84A36" w:rsidP="00A84A36">
            <w:pPr>
              <w:jc w:val="center"/>
              <w:rPr>
                <w:rFonts w:cs="Times New Roman"/>
                <w:color w:val="000000"/>
              </w:rPr>
            </w:pPr>
            <w:r w:rsidRPr="000C1CFA">
              <w:rPr>
                <w:rFonts w:cs="Times New Roman"/>
                <w:color w:val="000000"/>
              </w:rPr>
              <w:t>0,00</w:t>
            </w:r>
          </w:p>
        </w:tc>
        <w:tc>
          <w:tcPr>
            <w:tcW w:w="1560" w:type="dxa"/>
            <w:vAlign w:val="center"/>
          </w:tcPr>
          <w:p w14:paraId="47221785" w14:textId="4B2346EC" w:rsidR="00A84A36" w:rsidRPr="000C1CFA" w:rsidRDefault="00A84A36" w:rsidP="00A84A36">
            <w:pPr>
              <w:jc w:val="center"/>
              <w:rPr>
                <w:rFonts w:cs="Times New Roman"/>
                <w:color w:val="000000"/>
              </w:rPr>
            </w:pPr>
            <w:r w:rsidRPr="000C1CFA">
              <w:rPr>
                <w:rFonts w:cs="Times New Roman"/>
                <w:color w:val="000000"/>
              </w:rPr>
              <w:t>0,00</w:t>
            </w:r>
          </w:p>
        </w:tc>
        <w:tc>
          <w:tcPr>
            <w:tcW w:w="1559" w:type="dxa"/>
            <w:vAlign w:val="center"/>
          </w:tcPr>
          <w:p w14:paraId="01ED3644" w14:textId="23649E88" w:rsidR="00A84A36" w:rsidRPr="000C1CFA" w:rsidRDefault="00A84A36" w:rsidP="00A84A36">
            <w:pPr>
              <w:jc w:val="center"/>
              <w:rPr>
                <w:rFonts w:cs="Times New Roman"/>
                <w:color w:val="000000"/>
              </w:rPr>
            </w:pPr>
            <w:r w:rsidRPr="000C1CFA">
              <w:rPr>
                <w:rFonts w:cs="Times New Roman"/>
                <w:color w:val="000000"/>
              </w:rPr>
              <w:t>0,00</w:t>
            </w:r>
          </w:p>
        </w:tc>
      </w:tr>
      <w:tr w:rsidR="00A84A36" w:rsidRPr="00260A19" w14:paraId="364DDE47" w14:textId="77777777" w:rsidTr="00D14B4C">
        <w:tc>
          <w:tcPr>
            <w:tcW w:w="4957" w:type="dxa"/>
          </w:tcPr>
          <w:p w14:paraId="3194B362" w14:textId="77777777" w:rsidR="00A84A36" w:rsidRPr="00260A19" w:rsidRDefault="00A84A36" w:rsidP="00A84A36">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3D11B72" w:rsidR="00A84A36" w:rsidRPr="000C1CFA" w:rsidRDefault="00A84A36" w:rsidP="00A84A36">
            <w:pPr>
              <w:pStyle w:val="ConsPlusNormal"/>
              <w:jc w:val="center"/>
              <w:rPr>
                <w:rFonts w:ascii="Times New Roman" w:hAnsi="Times New Roman" w:cs="Times New Roman"/>
                <w:sz w:val="24"/>
                <w:szCs w:val="24"/>
              </w:rPr>
            </w:pPr>
            <w:r w:rsidRPr="000C1CFA">
              <w:rPr>
                <w:rFonts w:ascii="Times New Roman" w:hAnsi="Times New Roman" w:cs="Times New Roman"/>
                <w:color w:val="000000"/>
                <w:sz w:val="24"/>
                <w:szCs w:val="24"/>
              </w:rPr>
              <w:t>1 504 884,84</w:t>
            </w:r>
          </w:p>
        </w:tc>
        <w:tc>
          <w:tcPr>
            <w:tcW w:w="1843" w:type="dxa"/>
            <w:vAlign w:val="center"/>
          </w:tcPr>
          <w:p w14:paraId="4BD5224F" w14:textId="7405A95E" w:rsidR="00A84A36" w:rsidRPr="000C1CFA" w:rsidRDefault="00A84A36" w:rsidP="00A84A36">
            <w:pPr>
              <w:jc w:val="center"/>
              <w:rPr>
                <w:rFonts w:cs="Times New Roman"/>
                <w:color w:val="000000"/>
              </w:rPr>
            </w:pPr>
            <w:r w:rsidRPr="000C1CFA">
              <w:rPr>
                <w:rFonts w:cs="Times New Roman"/>
                <w:color w:val="000000"/>
              </w:rPr>
              <w:t>422 637,65</w:t>
            </w:r>
          </w:p>
        </w:tc>
        <w:tc>
          <w:tcPr>
            <w:tcW w:w="1559" w:type="dxa"/>
            <w:vAlign w:val="center"/>
          </w:tcPr>
          <w:p w14:paraId="4A922177" w14:textId="00925BC6" w:rsidR="00A84A36" w:rsidRPr="000C1CFA" w:rsidRDefault="00A84A36" w:rsidP="00A84A36">
            <w:pPr>
              <w:jc w:val="center"/>
              <w:rPr>
                <w:rFonts w:cs="Times New Roman"/>
                <w:color w:val="000000"/>
              </w:rPr>
            </w:pPr>
            <w:r w:rsidRPr="000C1CFA">
              <w:rPr>
                <w:rFonts w:cs="Times New Roman"/>
                <w:color w:val="000000"/>
              </w:rPr>
              <w:t>393 346,19</w:t>
            </w:r>
          </w:p>
        </w:tc>
        <w:tc>
          <w:tcPr>
            <w:tcW w:w="1701" w:type="dxa"/>
            <w:vAlign w:val="center"/>
          </w:tcPr>
          <w:p w14:paraId="631ABA3B" w14:textId="491D1561" w:rsidR="00A84A36" w:rsidRPr="000C1CFA" w:rsidRDefault="00A84A36" w:rsidP="00A84A36">
            <w:pPr>
              <w:jc w:val="center"/>
              <w:rPr>
                <w:rFonts w:cs="Times New Roman"/>
                <w:color w:val="000000"/>
              </w:rPr>
            </w:pPr>
            <w:r w:rsidRPr="000C1CFA">
              <w:rPr>
                <w:rFonts w:cs="Times New Roman"/>
                <w:color w:val="000000"/>
              </w:rPr>
              <w:t xml:space="preserve">    210 225,00 </w:t>
            </w:r>
          </w:p>
        </w:tc>
        <w:tc>
          <w:tcPr>
            <w:tcW w:w="1560" w:type="dxa"/>
            <w:vAlign w:val="center"/>
          </w:tcPr>
          <w:p w14:paraId="136747C5" w14:textId="0EA9B4D9" w:rsidR="00A84A36" w:rsidRPr="000C1CFA" w:rsidRDefault="00A84A36" w:rsidP="00A84A36">
            <w:pPr>
              <w:jc w:val="center"/>
              <w:rPr>
                <w:rFonts w:cs="Times New Roman"/>
                <w:color w:val="000000"/>
              </w:rPr>
            </w:pPr>
            <w:r w:rsidRPr="000C1CFA">
              <w:rPr>
                <w:rFonts w:cs="Times New Roman"/>
                <w:color w:val="000000"/>
              </w:rPr>
              <w:t>239 338,00</w:t>
            </w:r>
          </w:p>
        </w:tc>
        <w:tc>
          <w:tcPr>
            <w:tcW w:w="1559" w:type="dxa"/>
            <w:vAlign w:val="center"/>
          </w:tcPr>
          <w:p w14:paraId="7C391E57" w14:textId="6622963B" w:rsidR="00A84A36" w:rsidRPr="000C1CFA" w:rsidRDefault="00A84A36" w:rsidP="00A84A36">
            <w:pPr>
              <w:jc w:val="center"/>
              <w:rPr>
                <w:rFonts w:cs="Times New Roman"/>
                <w:color w:val="000000"/>
              </w:rPr>
            </w:pPr>
            <w:r w:rsidRPr="000C1CFA">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w:t>
      </w:r>
      <w:r w:rsidRPr="00260A19">
        <w:lastRenderedPageBreak/>
        <w:t>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1B00F1"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AB7556" w:rsidRPr="00AB7556" w:rsidRDefault="00AB7556" w:rsidP="00AB7556">
            <w:pPr>
              <w:jc w:val="center"/>
              <w:rPr>
                <w:rFonts w:cs="Times New Roman"/>
                <w:color w:val="000000"/>
                <w:sz w:val="16"/>
                <w:szCs w:val="16"/>
              </w:rPr>
            </w:pPr>
            <w:r w:rsidRPr="00AB7556">
              <w:rPr>
                <w:rFonts w:cs="Times New Roman"/>
                <w:color w:val="000000"/>
                <w:sz w:val="16"/>
                <w:szCs w:val="16"/>
              </w:rPr>
              <w:t>202</w:t>
            </w:r>
            <w:r w:rsidR="00836D7C">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1F0D3F7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541A8CE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1B00F1" w:rsidRPr="00AB7556" w14:paraId="6BB079BF" w14:textId="77777777" w:rsidTr="00ED6087">
        <w:trPr>
          <w:trHeight w:val="1423"/>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5F88C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4470A0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AB7556" w:rsidRPr="00AB7556" w:rsidRDefault="00AB7556" w:rsidP="00AB7556">
            <w:pPr>
              <w:rPr>
                <w:rFonts w:cs="Times New Roman"/>
                <w:color w:val="000000"/>
                <w:sz w:val="16"/>
                <w:szCs w:val="16"/>
              </w:rPr>
            </w:pPr>
          </w:p>
        </w:tc>
      </w:tr>
      <w:tr w:rsidR="001B00F1"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AB7556" w:rsidRPr="00AB7556" w:rsidRDefault="00AB7556" w:rsidP="00AB7556">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0660AA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3D009E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w:t>
            </w:r>
          </w:p>
        </w:tc>
      </w:tr>
      <w:tr w:rsidR="001B00F1"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9B68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774C3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ED6087">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D80D2F"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D80D2F" w:rsidRPr="00AB7556" w:rsidRDefault="00D80D2F" w:rsidP="00D80D2F">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D80D2F" w:rsidRPr="00AB7556" w:rsidRDefault="00D80D2F" w:rsidP="00D80D2F">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D80D2F" w:rsidRPr="00AB7556" w:rsidRDefault="00D80D2F" w:rsidP="00D80D2F">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D80D2F" w:rsidRPr="00AB7556" w:rsidRDefault="00D80D2F" w:rsidP="00D80D2F">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795D3F6A" w:rsidR="00D80D2F" w:rsidRPr="00D80D2F" w:rsidRDefault="00D80D2F" w:rsidP="00D80D2F">
            <w:pPr>
              <w:jc w:val="center"/>
              <w:rPr>
                <w:rFonts w:cs="Times New Roman"/>
                <w:color w:val="000000"/>
                <w:sz w:val="16"/>
                <w:szCs w:val="16"/>
              </w:rPr>
            </w:pPr>
            <w:r w:rsidRPr="00D80D2F">
              <w:rPr>
                <w:color w:val="000000"/>
                <w:sz w:val="16"/>
                <w:szCs w:val="16"/>
              </w:rPr>
              <w:t>1 494 884,84</w:t>
            </w:r>
          </w:p>
        </w:tc>
        <w:tc>
          <w:tcPr>
            <w:tcW w:w="1136" w:type="dxa"/>
            <w:tcBorders>
              <w:top w:val="nil"/>
              <w:left w:val="nil"/>
              <w:bottom w:val="single" w:sz="4" w:space="0" w:color="auto"/>
              <w:right w:val="nil"/>
            </w:tcBorders>
            <w:shd w:val="clear" w:color="auto" w:fill="auto"/>
            <w:hideMark/>
          </w:tcPr>
          <w:p w14:paraId="5DE4C4A5" w14:textId="5D6AD136" w:rsidR="00D80D2F" w:rsidRPr="00D80D2F" w:rsidRDefault="00D80D2F" w:rsidP="00D80D2F">
            <w:pPr>
              <w:jc w:val="center"/>
              <w:rPr>
                <w:rFonts w:cs="Times New Roman"/>
                <w:color w:val="000000"/>
                <w:sz w:val="16"/>
                <w:szCs w:val="16"/>
              </w:rPr>
            </w:pPr>
            <w:r w:rsidRPr="00D80D2F">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359BF2C9" w:rsidR="00D80D2F" w:rsidRPr="00D80D2F" w:rsidRDefault="00D80D2F" w:rsidP="00D80D2F">
            <w:pPr>
              <w:jc w:val="center"/>
              <w:rPr>
                <w:rFonts w:cs="Times New Roman"/>
                <w:color w:val="000000"/>
                <w:sz w:val="16"/>
                <w:szCs w:val="16"/>
              </w:rPr>
            </w:pPr>
            <w:r w:rsidRPr="00D80D2F">
              <w:rPr>
                <w:color w:val="000000"/>
                <w:sz w:val="16"/>
                <w:szCs w:val="16"/>
              </w:rPr>
              <w:t>383 346,19</w:t>
            </w:r>
          </w:p>
        </w:tc>
        <w:tc>
          <w:tcPr>
            <w:tcW w:w="1136" w:type="dxa"/>
            <w:tcBorders>
              <w:top w:val="nil"/>
              <w:left w:val="nil"/>
              <w:bottom w:val="single" w:sz="4" w:space="0" w:color="auto"/>
              <w:right w:val="single" w:sz="4" w:space="0" w:color="auto"/>
            </w:tcBorders>
            <w:shd w:val="clear" w:color="auto" w:fill="auto"/>
            <w:hideMark/>
          </w:tcPr>
          <w:p w14:paraId="64CFB702" w14:textId="1D95F30F" w:rsidR="00D80D2F" w:rsidRPr="00D80D2F" w:rsidRDefault="00D80D2F" w:rsidP="00D80D2F">
            <w:pPr>
              <w:jc w:val="center"/>
              <w:rPr>
                <w:rFonts w:cs="Times New Roman"/>
                <w:color w:val="000000"/>
                <w:sz w:val="16"/>
                <w:szCs w:val="16"/>
              </w:rPr>
            </w:pPr>
            <w:r w:rsidRPr="00D80D2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660B8F7B"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74AEA003"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D80D2F" w:rsidRPr="00AB7556" w:rsidRDefault="00D80D2F" w:rsidP="00D80D2F">
            <w:pPr>
              <w:jc w:val="center"/>
              <w:rPr>
                <w:rFonts w:cs="Times New Roman"/>
                <w:color w:val="000000"/>
                <w:sz w:val="16"/>
                <w:szCs w:val="16"/>
              </w:rPr>
            </w:pPr>
            <w:r w:rsidRPr="00AB7556">
              <w:rPr>
                <w:rFonts w:cs="Times New Roman"/>
                <w:color w:val="000000"/>
                <w:sz w:val="16"/>
                <w:szCs w:val="16"/>
              </w:rPr>
              <w:t>Х</w:t>
            </w:r>
          </w:p>
        </w:tc>
      </w:tr>
      <w:tr w:rsidR="00D80D2F"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D80D2F" w:rsidRPr="00AB7556" w:rsidRDefault="00D80D2F" w:rsidP="00D80D2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D80D2F" w:rsidRPr="00AB7556" w:rsidRDefault="00D80D2F" w:rsidP="00D80D2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D80D2F" w:rsidRPr="00AB7556" w:rsidRDefault="00D80D2F" w:rsidP="00D80D2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D80D2F" w:rsidRPr="00AB7556" w:rsidRDefault="00D80D2F" w:rsidP="00D80D2F">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30CC6D3" w:rsidR="00D80D2F" w:rsidRPr="00D80D2F" w:rsidRDefault="00D80D2F" w:rsidP="00D80D2F">
            <w:pPr>
              <w:jc w:val="center"/>
              <w:rPr>
                <w:rFonts w:cs="Times New Roman"/>
                <w:color w:val="000000"/>
                <w:sz w:val="16"/>
                <w:szCs w:val="16"/>
              </w:rPr>
            </w:pPr>
            <w:r w:rsidRPr="00D80D2F">
              <w:rPr>
                <w:color w:val="000000"/>
                <w:sz w:val="16"/>
                <w:szCs w:val="16"/>
              </w:rPr>
              <w:t>1 412 459,84</w:t>
            </w:r>
          </w:p>
        </w:tc>
        <w:tc>
          <w:tcPr>
            <w:tcW w:w="1136" w:type="dxa"/>
            <w:tcBorders>
              <w:top w:val="nil"/>
              <w:left w:val="nil"/>
              <w:bottom w:val="single" w:sz="4" w:space="0" w:color="auto"/>
              <w:right w:val="nil"/>
            </w:tcBorders>
            <w:shd w:val="clear" w:color="auto" w:fill="auto"/>
            <w:hideMark/>
          </w:tcPr>
          <w:p w14:paraId="3F2458B1" w14:textId="706F6B67" w:rsidR="00D80D2F" w:rsidRPr="00D80D2F" w:rsidRDefault="00D80D2F" w:rsidP="00D80D2F">
            <w:pPr>
              <w:jc w:val="center"/>
              <w:rPr>
                <w:rFonts w:cs="Times New Roman"/>
                <w:color w:val="000000"/>
                <w:sz w:val="16"/>
                <w:szCs w:val="16"/>
              </w:rPr>
            </w:pPr>
            <w:r w:rsidRPr="00D80D2F">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072B8C74" w:rsidR="00D80D2F" w:rsidRPr="00D80D2F" w:rsidRDefault="00D80D2F" w:rsidP="00D80D2F">
            <w:pPr>
              <w:jc w:val="center"/>
              <w:rPr>
                <w:rFonts w:cs="Times New Roman"/>
                <w:color w:val="000000"/>
                <w:sz w:val="16"/>
                <w:szCs w:val="16"/>
              </w:rPr>
            </w:pPr>
            <w:r w:rsidRPr="00D80D2F">
              <w:rPr>
                <w:color w:val="000000"/>
                <w:sz w:val="16"/>
                <w:szCs w:val="16"/>
              </w:rPr>
              <w:t>383 346,19</w:t>
            </w:r>
          </w:p>
        </w:tc>
        <w:tc>
          <w:tcPr>
            <w:tcW w:w="1136" w:type="dxa"/>
            <w:tcBorders>
              <w:top w:val="nil"/>
              <w:left w:val="nil"/>
              <w:bottom w:val="single" w:sz="4" w:space="0" w:color="auto"/>
              <w:right w:val="single" w:sz="4" w:space="0" w:color="auto"/>
            </w:tcBorders>
            <w:shd w:val="clear" w:color="auto" w:fill="auto"/>
            <w:hideMark/>
          </w:tcPr>
          <w:p w14:paraId="6001BBAE" w14:textId="26081FBB" w:rsidR="00D80D2F" w:rsidRPr="00D80D2F" w:rsidRDefault="00D80D2F" w:rsidP="00D80D2F">
            <w:pPr>
              <w:jc w:val="center"/>
              <w:rPr>
                <w:rFonts w:cs="Times New Roman"/>
                <w:color w:val="000000"/>
                <w:sz w:val="16"/>
                <w:szCs w:val="16"/>
              </w:rPr>
            </w:pPr>
            <w:r w:rsidRPr="00D80D2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0272C4DF"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33C2F281"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D80D2F" w:rsidRPr="00AB7556" w:rsidRDefault="00D80D2F" w:rsidP="00D80D2F">
            <w:pPr>
              <w:rPr>
                <w:rFonts w:cs="Times New Roman"/>
                <w:color w:val="000000"/>
                <w:sz w:val="16"/>
                <w:szCs w:val="16"/>
              </w:rPr>
            </w:pPr>
          </w:p>
        </w:tc>
      </w:tr>
      <w:tr w:rsidR="00D80D2F"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D80D2F" w:rsidRPr="00AB7556" w:rsidRDefault="00D80D2F" w:rsidP="00D80D2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D80D2F" w:rsidRPr="00AB7556" w:rsidRDefault="00D80D2F" w:rsidP="00D80D2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D80D2F" w:rsidRPr="00AB7556" w:rsidRDefault="00D80D2F" w:rsidP="00D80D2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D80D2F" w:rsidRPr="00AB7556" w:rsidRDefault="00D80D2F" w:rsidP="00D80D2F">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57BA3160" w:rsidR="00D80D2F" w:rsidRPr="00D80D2F" w:rsidRDefault="00D80D2F" w:rsidP="00D80D2F">
            <w:pPr>
              <w:jc w:val="center"/>
              <w:rPr>
                <w:rFonts w:cs="Times New Roman"/>
                <w:color w:val="000000"/>
                <w:sz w:val="16"/>
                <w:szCs w:val="16"/>
              </w:rPr>
            </w:pPr>
            <w:r w:rsidRPr="00D80D2F">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690FB816" w:rsidR="00D80D2F" w:rsidRPr="00D80D2F" w:rsidRDefault="00D80D2F" w:rsidP="00D80D2F">
            <w:pPr>
              <w:jc w:val="center"/>
              <w:rPr>
                <w:rFonts w:cs="Times New Roman"/>
                <w:color w:val="000000"/>
                <w:sz w:val="16"/>
                <w:szCs w:val="16"/>
              </w:rPr>
            </w:pPr>
            <w:r w:rsidRPr="00D80D2F">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36F6B7B2"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2C8F5F45"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173D61D0"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6F5EB557"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D80D2F" w:rsidRPr="00AB7556" w:rsidRDefault="00D80D2F" w:rsidP="00D80D2F">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Мероприятие 04.07.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9E6E9F"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9E6E9F" w:rsidRPr="00AB7556" w:rsidRDefault="009E6E9F" w:rsidP="009E6E9F">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9E6E9F" w:rsidRPr="00AB7556" w:rsidRDefault="009E6E9F" w:rsidP="009E6E9F">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9E6E9F" w:rsidRPr="00AB7556" w:rsidRDefault="009E6E9F" w:rsidP="009E6E9F">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9E6E9F" w:rsidRPr="00AB7556" w:rsidRDefault="009E6E9F" w:rsidP="009E6E9F">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71CC93AD" w:rsidR="009E6E9F" w:rsidRPr="009E6E9F" w:rsidRDefault="009E6E9F" w:rsidP="009E6E9F">
            <w:pPr>
              <w:jc w:val="center"/>
              <w:rPr>
                <w:rFonts w:cs="Times New Roman"/>
                <w:sz w:val="16"/>
                <w:szCs w:val="16"/>
              </w:rPr>
            </w:pPr>
            <w:r w:rsidRPr="009E6E9F">
              <w:rPr>
                <w:sz w:val="16"/>
                <w:szCs w:val="16"/>
              </w:rPr>
              <w:t>894 881,03</w:t>
            </w:r>
          </w:p>
        </w:tc>
        <w:tc>
          <w:tcPr>
            <w:tcW w:w="1136" w:type="dxa"/>
            <w:tcBorders>
              <w:top w:val="nil"/>
              <w:left w:val="nil"/>
              <w:bottom w:val="single" w:sz="4" w:space="0" w:color="auto"/>
              <w:right w:val="single" w:sz="4" w:space="0" w:color="auto"/>
            </w:tcBorders>
            <w:shd w:val="clear" w:color="auto" w:fill="auto"/>
            <w:hideMark/>
          </w:tcPr>
          <w:p w14:paraId="7A0FEC4E" w14:textId="4A2BFAA6" w:rsidR="009E6E9F" w:rsidRPr="009E6E9F" w:rsidRDefault="009E6E9F" w:rsidP="009E6E9F">
            <w:pPr>
              <w:jc w:val="center"/>
              <w:rPr>
                <w:rFonts w:cs="Times New Roman"/>
                <w:sz w:val="16"/>
                <w:szCs w:val="16"/>
              </w:rPr>
            </w:pPr>
            <w:r w:rsidRPr="009E6E9F">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4A9EE312" w:rsidR="009E6E9F" w:rsidRPr="009E6E9F" w:rsidRDefault="009E6E9F" w:rsidP="009E6E9F">
            <w:pPr>
              <w:jc w:val="center"/>
              <w:rPr>
                <w:rFonts w:cs="Times New Roman"/>
                <w:sz w:val="16"/>
                <w:szCs w:val="16"/>
              </w:rPr>
            </w:pPr>
            <w:r w:rsidRPr="009E6E9F">
              <w:rPr>
                <w:sz w:val="16"/>
                <w:szCs w:val="16"/>
              </w:rPr>
              <w:t>181 230,00</w:t>
            </w:r>
          </w:p>
        </w:tc>
        <w:tc>
          <w:tcPr>
            <w:tcW w:w="1136" w:type="dxa"/>
            <w:tcBorders>
              <w:top w:val="nil"/>
              <w:left w:val="nil"/>
              <w:bottom w:val="single" w:sz="4" w:space="0" w:color="auto"/>
              <w:right w:val="single" w:sz="4" w:space="0" w:color="auto"/>
            </w:tcBorders>
            <w:shd w:val="clear" w:color="auto" w:fill="auto"/>
            <w:hideMark/>
          </w:tcPr>
          <w:p w14:paraId="46D67466" w14:textId="015EC0B7" w:rsidR="009E6E9F" w:rsidRPr="009E6E9F" w:rsidRDefault="009E6E9F" w:rsidP="009E6E9F">
            <w:pPr>
              <w:jc w:val="center"/>
              <w:rPr>
                <w:rFonts w:cs="Times New Roman"/>
                <w:sz w:val="16"/>
                <w:szCs w:val="16"/>
              </w:rPr>
            </w:pPr>
            <w:r w:rsidRPr="009E6E9F">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32CBBF77" w:rsidR="009E6E9F" w:rsidRPr="009E6E9F" w:rsidRDefault="009E6E9F" w:rsidP="009E6E9F">
            <w:pPr>
              <w:jc w:val="center"/>
              <w:rPr>
                <w:rFonts w:cs="Times New Roman"/>
                <w:sz w:val="16"/>
                <w:szCs w:val="16"/>
              </w:rPr>
            </w:pPr>
            <w:r w:rsidRPr="009E6E9F">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50945083" w:rsidR="009E6E9F" w:rsidRPr="009E6E9F" w:rsidRDefault="009E6E9F" w:rsidP="009E6E9F">
            <w:pPr>
              <w:jc w:val="center"/>
              <w:rPr>
                <w:rFonts w:cs="Times New Roman"/>
                <w:sz w:val="16"/>
                <w:szCs w:val="16"/>
              </w:rPr>
            </w:pPr>
            <w:r w:rsidRPr="009E6E9F">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9E6E9F" w:rsidRPr="00AB7556" w:rsidRDefault="009E6E9F" w:rsidP="009E6E9F">
            <w:pPr>
              <w:jc w:val="center"/>
              <w:rPr>
                <w:rFonts w:ascii="Calibri" w:hAnsi="Calibri" w:cs="Calibri"/>
                <w:color w:val="000000"/>
                <w:sz w:val="16"/>
                <w:szCs w:val="16"/>
              </w:rPr>
            </w:pPr>
            <w:r w:rsidRPr="00AB7556">
              <w:rPr>
                <w:rFonts w:ascii="Calibri" w:hAnsi="Calibri" w:cs="Calibri"/>
                <w:color w:val="000000"/>
                <w:sz w:val="16"/>
                <w:szCs w:val="16"/>
              </w:rPr>
              <w:t> </w:t>
            </w:r>
          </w:p>
        </w:tc>
      </w:tr>
      <w:tr w:rsidR="009E6E9F"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9E6E9F" w:rsidRPr="00AB7556" w:rsidRDefault="009E6E9F" w:rsidP="009E6E9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9E6E9F" w:rsidRPr="00AB7556" w:rsidRDefault="009E6E9F" w:rsidP="009E6E9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9E6E9F" w:rsidRPr="00AB7556" w:rsidRDefault="009E6E9F" w:rsidP="009E6E9F">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9E6E9F" w:rsidRPr="00AB7556" w:rsidRDefault="009E6E9F" w:rsidP="009E6E9F">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39E5C132" w:rsidR="009E6E9F" w:rsidRPr="009E6E9F" w:rsidRDefault="009E6E9F" w:rsidP="009E6E9F">
            <w:pPr>
              <w:jc w:val="center"/>
              <w:rPr>
                <w:rFonts w:cs="Times New Roman"/>
                <w:sz w:val="16"/>
                <w:szCs w:val="16"/>
              </w:rPr>
            </w:pPr>
            <w:r w:rsidRPr="009E6E9F">
              <w:rPr>
                <w:sz w:val="16"/>
                <w:szCs w:val="16"/>
              </w:rPr>
              <w:t>893 755,03</w:t>
            </w:r>
          </w:p>
        </w:tc>
        <w:tc>
          <w:tcPr>
            <w:tcW w:w="1136" w:type="dxa"/>
            <w:tcBorders>
              <w:top w:val="nil"/>
              <w:left w:val="nil"/>
              <w:bottom w:val="single" w:sz="4" w:space="0" w:color="auto"/>
              <w:right w:val="single" w:sz="4" w:space="0" w:color="auto"/>
            </w:tcBorders>
            <w:shd w:val="clear" w:color="auto" w:fill="auto"/>
            <w:hideMark/>
          </w:tcPr>
          <w:p w14:paraId="7B438A57" w14:textId="0AC71483" w:rsidR="009E6E9F" w:rsidRPr="009E6E9F" w:rsidRDefault="009E6E9F" w:rsidP="009E6E9F">
            <w:pPr>
              <w:jc w:val="center"/>
              <w:rPr>
                <w:rFonts w:cs="Times New Roman"/>
                <w:sz w:val="16"/>
                <w:szCs w:val="16"/>
              </w:rPr>
            </w:pPr>
            <w:r w:rsidRPr="009E6E9F">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1FCF43B8" w:rsidR="009E6E9F" w:rsidRPr="009E6E9F" w:rsidRDefault="009E6E9F" w:rsidP="009E6E9F">
            <w:pPr>
              <w:jc w:val="center"/>
              <w:rPr>
                <w:rFonts w:cs="Times New Roman"/>
                <w:sz w:val="16"/>
                <w:szCs w:val="16"/>
              </w:rPr>
            </w:pPr>
            <w:r w:rsidRPr="009E6E9F">
              <w:rPr>
                <w:sz w:val="16"/>
                <w:szCs w:val="16"/>
              </w:rPr>
              <w:t>181 030,00</w:t>
            </w:r>
          </w:p>
        </w:tc>
        <w:tc>
          <w:tcPr>
            <w:tcW w:w="1136" w:type="dxa"/>
            <w:tcBorders>
              <w:top w:val="nil"/>
              <w:left w:val="nil"/>
              <w:bottom w:val="single" w:sz="4" w:space="0" w:color="auto"/>
              <w:right w:val="single" w:sz="4" w:space="0" w:color="auto"/>
            </w:tcBorders>
            <w:shd w:val="clear" w:color="auto" w:fill="auto"/>
            <w:hideMark/>
          </w:tcPr>
          <w:p w14:paraId="6D0E484A" w14:textId="70BB28A7" w:rsidR="009E6E9F" w:rsidRPr="009E6E9F" w:rsidRDefault="009E6E9F" w:rsidP="009E6E9F">
            <w:pPr>
              <w:jc w:val="center"/>
              <w:rPr>
                <w:rFonts w:cs="Times New Roman"/>
                <w:sz w:val="16"/>
                <w:szCs w:val="16"/>
              </w:rPr>
            </w:pPr>
            <w:r w:rsidRPr="009E6E9F">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23C199BE" w:rsidR="009E6E9F" w:rsidRPr="009E6E9F" w:rsidRDefault="009E6E9F" w:rsidP="009E6E9F">
            <w:pPr>
              <w:jc w:val="center"/>
              <w:rPr>
                <w:rFonts w:cs="Times New Roman"/>
                <w:sz w:val="16"/>
                <w:szCs w:val="16"/>
              </w:rPr>
            </w:pPr>
            <w:r w:rsidRPr="009E6E9F">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4327BCE6" w:rsidR="009E6E9F" w:rsidRPr="009E6E9F" w:rsidRDefault="009E6E9F" w:rsidP="009E6E9F">
            <w:pPr>
              <w:jc w:val="center"/>
              <w:rPr>
                <w:rFonts w:cs="Times New Roman"/>
                <w:sz w:val="16"/>
                <w:szCs w:val="16"/>
              </w:rPr>
            </w:pPr>
            <w:r w:rsidRPr="009E6E9F">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9E6E9F" w:rsidRPr="00AB7556" w:rsidRDefault="009E6E9F" w:rsidP="009E6E9F">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9E6E9F" w:rsidRPr="00AB7556" w14:paraId="7DF8812C" w14:textId="77777777" w:rsidTr="004A46B5">
        <w:trPr>
          <w:trHeight w:val="1290"/>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9E6E9F" w:rsidRPr="00AB7556" w:rsidRDefault="009E6E9F" w:rsidP="009E6E9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9E6E9F" w:rsidRPr="00AB7556" w:rsidRDefault="009E6E9F" w:rsidP="009E6E9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9E6E9F" w:rsidRPr="00AB7556" w:rsidRDefault="009E6E9F" w:rsidP="009E6E9F">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9E6E9F" w:rsidRPr="00AB7556" w:rsidRDefault="009E6E9F" w:rsidP="009E6E9F">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5303B7E0" w:rsidR="009E6E9F" w:rsidRPr="009E6E9F" w:rsidRDefault="009E6E9F" w:rsidP="009E6E9F">
            <w:pPr>
              <w:jc w:val="center"/>
              <w:rPr>
                <w:rFonts w:cs="Times New Roman"/>
                <w:sz w:val="16"/>
                <w:szCs w:val="16"/>
              </w:rPr>
            </w:pPr>
            <w:r w:rsidRPr="009E6E9F">
              <w:rPr>
                <w:sz w:val="16"/>
                <w:szCs w:val="16"/>
              </w:rPr>
              <w:t>876,00</w:t>
            </w:r>
          </w:p>
        </w:tc>
        <w:tc>
          <w:tcPr>
            <w:tcW w:w="1136" w:type="dxa"/>
            <w:tcBorders>
              <w:top w:val="nil"/>
              <w:left w:val="nil"/>
              <w:bottom w:val="single" w:sz="4" w:space="0" w:color="auto"/>
              <w:right w:val="single" w:sz="4" w:space="0" w:color="auto"/>
            </w:tcBorders>
            <w:shd w:val="clear" w:color="auto" w:fill="auto"/>
            <w:hideMark/>
          </w:tcPr>
          <w:p w14:paraId="06A1CF8D" w14:textId="53E7FD01" w:rsidR="009E6E9F" w:rsidRPr="009E6E9F" w:rsidRDefault="009E6E9F" w:rsidP="009E6E9F">
            <w:pPr>
              <w:jc w:val="center"/>
              <w:rPr>
                <w:rFonts w:cs="Times New Roman"/>
                <w:sz w:val="16"/>
                <w:szCs w:val="16"/>
              </w:rPr>
            </w:pPr>
            <w:r w:rsidRPr="009E6E9F">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495443B0" w:rsidR="009E6E9F" w:rsidRPr="009E6E9F" w:rsidRDefault="009E6E9F" w:rsidP="009E6E9F">
            <w:pPr>
              <w:jc w:val="center"/>
              <w:rPr>
                <w:rFonts w:cs="Times New Roman"/>
                <w:sz w:val="16"/>
                <w:szCs w:val="16"/>
              </w:rPr>
            </w:pPr>
            <w:r w:rsidRPr="009E6E9F">
              <w:rPr>
                <w:sz w:val="16"/>
                <w:szCs w:val="16"/>
              </w:rPr>
              <w:t>200,00</w:t>
            </w:r>
          </w:p>
        </w:tc>
        <w:tc>
          <w:tcPr>
            <w:tcW w:w="1136" w:type="dxa"/>
            <w:tcBorders>
              <w:top w:val="nil"/>
              <w:left w:val="nil"/>
              <w:bottom w:val="single" w:sz="4" w:space="0" w:color="auto"/>
              <w:right w:val="single" w:sz="4" w:space="0" w:color="auto"/>
            </w:tcBorders>
            <w:shd w:val="clear" w:color="auto" w:fill="auto"/>
            <w:hideMark/>
          </w:tcPr>
          <w:p w14:paraId="1701D8A0" w14:textId="117FC875" w:rsidR="009E6E9F" w:rsidRPr="009E6E9F" w:rsidRDefault="009E6E9F" w:rsidP="009E6E9F">
            <w:pPr>
              <w:jc w:val="center"/>
              <w:rPr>
                <w:rFonts w:cs="Times New Roman"/>
                <w:sz w:val="16"/>
                <w:szCs w:val="16"/>
              </w:rPr>
            </w:pPr>
            <w:r w:rsidRPr="009E6E9F">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40616989" w:rsidR="009E6E9F" w:rsidRPr="009E6E9F" w:rsidRDefault="009E6E9F" w:rsidP="009E6E9F">
            <w:pPr>
              <w:jc w:val="center"/>
              <w:rPr>
                <w:rFonts w:cs="Times New Roman"/>
                <w:sz w:val="16"/>
                <w:szCs w:val="16"/>
              </w:rPr>
            </w:pPr>
            <w:r w:rsidRPr="009E6E9F">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359743C8" w:rsidR="009E6E9F" w:rsidRPr="009E6E9F" w:rsidRDefault="009E6E9F" w:rsidP="009E6E9F">
            <w:pPr>
              <w:jc w:val="center"/>
              <w:rPr>
                <w:rFonts w:cs="Times New Roman"/>
                <w:sz w:val="16"/>
                <w:szCs w:val="16"/>
              </w:rPr>
            </w:pPr>
            <w:r w:rsidRPr="009E6E9F">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9E6E9F" w:rsidRPr="00AB7556" w:rsidRDefault="009E6E9F" w:rsidP="009E6E9F">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9E6E9F"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9E6E9F" w:rsidRPr="00AB7556" w:rsidRDefault="009E6E9F" w:rsidP="009E6E9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9E6E9F" w:rsidRPr="00AB7556" w:rsidRDefault="009E6E9F" w:rsidP="009E6E9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9E6E9F" w:rsidRPr="00AB7556" w:rsidRDefault="009E6E9F" w:rsidP="009E6E9F">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9E6E9F" w:rsidRPr="00AB7556" w:rsidRDefault="009E6E9F" w:rsidP="009E6E9F">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0EC1E518" w:rsidR="009E6E9F" w:rsidRPr="009E6E9F" w:rsidRDefault="009E6E9F" w:rsidP="009E6E9F">
            <w:pPr>
              <w:jc w:val="center"/>
              <w:rPr>
                <w:rFonts w:cs="Times New Roman"/>
                <w:sz w:val="16"/>
                <w:szCs w:val="16"/>
              </w:rPr>
            </w:pPr>
            <w:r w:rsidRPr="009E6E9F">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7159870F" w:rsidR="009E6E9F" w:rsidRPr="009E6E9F" w:rsidRDefault="009E6E9F" w:rsidP="009E6E9F">
            <w:pPr>
              <w:jc w:val="center"/>
              <w:rPr>
                <w:rFonts w:cs="Times New Roman"/>
                <w:sz w:val="16"/>
                <w:szCs w:val="16"/>
              </w:rPr>
            </w:pPr>
            <w:r w:rsidRPr="009E6E9F">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02E0475A" w:rsidR="009E6E9F" w:rsidRPr="009E6E9F" w:rsidRDefault="009E6E9F" w:rsidP="009E6E9F">
            <w:pPr>
              <w:jc w:val="center"/>
              <w:rPr>
                <w:rFonts w:cs="Times New Roman"/>
                <w:sz w:val="16"/>
                <w:szCs w:val="16"/>
              </w:rPr>
            </w:pPr>
            <w:r w:rsidRPr="009E6E9F">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5B83E7B" w:rsidR="009E6E9F" w:rsidRPr="009E6E9F" w:rsidRDefault="009E6E9F" w:rsidP="009E6E9F">
            <w:pPr>
              <w:jc w:val="center"/>
              <w:rPr>
                <w:rFonts w:cs="Times New Roman"/>
                <w:sz w:val="16"/>
                <w:szCs w:val="16"/>
              </w:rPr>
            </w:pPr>
            <w:r w:rsidRPr="009E6E9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7C49E2A1" w:rsidR="009E6E9F" w:rsidRPr="009E6E9F" w:rsidRDefault="009E6E9F" w:rsidP="009E6E9F">
            <w:pPr>
              <w:jc w:val="center"/>
              <w:rPr>
                <w:rFonts w:cs="Times New Roman"/>
                <w:sz w:val="16"/>
                <w:szCs w:val="16"/>
              </w:rPr>
            </w:pPr>
            <w:r w:rsidRPr="009E6E9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39043846" w:rsidR="009E6E9F" w:rsidRPr="009E6E9F" w:rsidRDefault="009E6E9F" w:rsidP="009E6E9F">
            <w:pPr>
              <w:jc w:val="center"/>
              <w:rPr>
                <w:rFonts w:cs="Times New Roman"/>
                <w:sz w:val="16"/>
                <w:szCs w:val="16"/>
              </w:rPr>
            </w:pPr>
            <w:r w:rsidRPr="009E6E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9E6E9F" w:rsidRPr="00AB7556" w:rsidRDefault="009E6E9F" w:rsidP="009E6E9F">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AB7556"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5C3DB8B6"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46E40F55"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8F134D" w:rsidRPr="00AB7556" w14:paraId="78883905" w14:textId="77777777" w:rsidTr="004A46B5">
        <w:trPr>
          <w:trHeight w:val="99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8F134D" w:rsidRPr="00AB7556" w:rsidRDefault="008F134D" w:rsidP="008F134D">
            <w:pPr>
              <w:jc w:val="center"/>
              <w:rPr>
                <w:rFonts w:cs="Times New Roman"/>
                <w:sz w:val="16"/>
                <w:szCs w:val="16"/>
              </w:rPr>
            </w:pPr>
            <w:r w:rsidRPr="00AB7556">
              <w:rPr>
                <w:rFonts w:cs="Times New Roman"/>
                <w:sz w:val="16"/>
                <w:szCs w:val="16"/>
              </w:rPr>
              <w:lastRenderedPageBreak/>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8F134D" w:rsidRPr="00AB7556" w:rsidRDefault="008F134D" w:rsidP="008F134D">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8F134D" w:rsidRPr="00AB7556" w:rsidRDefault="008F134D" w:rsidP="008F134D">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8F134D" w:rsidRPr="00AB7556" w:rsidRDefault="008F134D" w:rsidP="008F134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0791551C" w:rsidR="008F134D" w:rsidRPr="008F134D" w:rsidRDefault="008F134D" w:rsidP="008F134D">
            <w:pPr>
              <w:jc w:val="center"/>
              <w:rPr>
                <w:rFonts w:cs="Times New Roman"/>
                <w:color w:val="000000"/>
                <w:sz w:val="16"/>
                <w:szCs w:val="16"/>
              </w:rPr>
            </w:pPr>
            <w:r w:rsidRPr="008F134D">
              <w:rPr>
                <w:color w:val="000000"/>
                <w:sz w:val="16"/>
                <w:szCs w:val="16"/>
              </w:rPr>
              <w:t>91 623,81</w:t>
            </w:r>
          </w:p>
        </w:tc>
        <w:tc>
          <w:tcPr>
            <w:tcW w:w="1136" w:type="dxa"/>
            <w:tcBorders>
              <w:top w:val="nil"/>
              <w:left w:val="nil"/>
              <w:bottom w:val="single" w:sz="4" w:space="0" w:color="auto"/>
              <w:right w:val="single" w:sz="4" w:space="0" w:color="auto"/>
            </w:tcBorders>
            <w:shd w:val="clear" w:color="auto" w:fill="auto"/>
            <w:hideMark/>
          </w:tcPr>
          <w:p w14:paraId="6AD546A6" w14:textId="1BDB6C31" w:rsidR="008F134D" w:rsidRPr="008F134D" w:rsidRDefault="008F134D" w:rsidP="008F134D">
            <w:pPr>
              <w:jc w:val="center"/>
              <w:rPr>
                <w:rFonts w:cs="Times New Roman"/>
                <w:color w:val="000000"/>
                <w:sz w:val="16"/>
                <w:szCs w:val="16"/>
              </w:rPr>
            </w:pPr>
            <w:r w:rsidRPr="008F134D">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60359BBC" w:rsidR="008F134D" w:rsidRPr="008F134D" w:rsidRDefault="008F134D" w:rsidP="008F134D">
            <w:pPr>
              <w:jc w:val="center"/>
              <w:rPr>
                <w:rFonts w:cs="Times New Roman"/>
                <w:color w:val="000000"/>
                <w:sz w:val="16"/>
                <w:szCs w:val="16"/>
              </w:rPr>
            </w:pPr>
            <w:r w:rsidRPr="008F134D">
              <w:rPr>
                <w:color w:val="000000"/>
                <w:sz w:val="16"/>
                <w:szCs w:val="16"/>
              </w:rPr>
              <w:t>24 045,19</w:t>
            </w:r>
          </w:p>
        </w:tc>
        <w:tc>
          <w:tcPr>
            <w:tcW w:w="1136" w:type="dxa"/>
            <w:tcBorders>
              <w:top w:val="nil"/>
              <w:left w:val="nil"/>
              <w:bottom w:val="single" w:sz="4" w:space="0" w:color="auto"/>
              <w:right w:val="single" w:sz="4" w:space="0" w:color="auto"/>
            </w:tcBorders>
            <w:shd w:val="clear" w:color="auto" w:fill="auto"/>
            <w:hideMark/>
          </w:tcPr>
          <w:p w14:paraId="2519DC03" w14:textId="55261192"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46144F2A"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3E12C564"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8F134D" w:rsidRPr="00AB7556" w:rsidRDefault="008F134D" w:rsidP="008F134D">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8F134D"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8F134D" w:rsidRPr="00AB7556" w:rsidRDefault="008F134D" w:rsidP="008F134D">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8F134D" w:rsidRPr="00AB7556" w:rsidRDefault="008F134D" w:rsidP="008F13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8F134D" w:rsidRPr="00AB7556" w:rsidRDefault="008F134D" w:rsidP="008F13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8F134D" w:rsidRPr="00AB7556" w:rsidRDefault="008F134D" w:rsidP="008F134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2A41215D" w:rsidR="008F134D" w:rsidRPr="008F134D" w:rsidRDefault="008F134D" w:rsidP="008F134D">
            <w:pPr>
              <w:jc w:val="center"/>
              <w:rPr>
                <w:rFonts w:cs="Times New Roman"/>
                <w:color w:val="000000"/>
                <w:sz w:val="16"/>
                <w:szCs w:val="16"/>
              </w:rPr>
            </w:pPr>
            <w:r w:rsidRPr="008F134D">
              <w:rPr>
                <w:color w:val="000000"/>
                <w:sz w:val="16"/>
                <w:szCs w:val="16"/>
              </w:rPr>
              <w:t>91 623,81</w:t>
            </w:r>
          </w:p>
        </w:tc>
        <w:tc>
          <w:tcPr>
            <w:tcW w:w="1136" w:type="dxa"/>
            <w:tcBorders>
              <w:top w:val="nil"/>
              <w:left w:val="nil"/>
              <w:bottom w:val="single" w:sz="4" w:space="0" w:color="auto"/>
              <w:right w:val="single" w:sz="4" w:space="0" w:color="auto"/>
            </w:tcBorders>
            <w:shd w:val="clear" w:color="auto" w:fill="auto"/>
            <w:hideMark/>
          </w:tcPr>
          <w:p w14:paraId="4B765A36" w14:textId="4AE5EB75" w:rsidR="008F134D" w:rsidRPr="008F134D" w:rsidRDefault="008F134D" w:rsidP="008F134D">
            <w:pPr>
              <w:jc w:val="center"/>
              <w:rPr>
                <w:rFonts w:cs="Times New Roman"/>
                <w:color w:val="000000"/>
                <w:sz w:val="16"/>
                <w:szCs w:val="16"/>
              </w:rPr>
            </w:pPr>
            <w:r w:rsidRPr="008F134D">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5B12CEDD" w:rsidR="008F134D" w:rsidRPr="008F134D" w:rsidRDefault="008F134D" w:rsidP="008F134D">
            <w:pPr>
              <w:jc w:val="center"/>
              <w:rPr>
                <w:rFonts w:cs="Times New Roman"/>
                <w:color w:val="000000"/>
                <w:sz w:val="16"/>
                <w:szCs w:val="16"/>
              </w:rPr>
            </w:pPr>
            <w:r w:rsidRPr="008F134D">
              <w:rPr>
                <w:color w:val="000000"/>
                <w:sz w:val="16"/>
                <w:szCs w:val="16"/>
              </w:rPr>
              <w:t>24 045,19</w:t>
            </w:r>
          </w:p>
        </w:tc>
        <w:tc>
          <w:tcPr>
            <w:tcW w:w="1136" w:type="dxa"/>
            <w:tcBorders>
              <w:top w:val="nil"/>
              <w:left w:val="nil"/>
              <w:bottom w:val="single" w:sz="4" w:space="0" w:color="auto"/>
              <w:right w:val="single" w:sz="4" w:space="0" w:color="auto"/>
            </w:tcBorders>
            <w:shd w:val="clear" w:color="auto" w:fill="auto"/>
            <w:hideMark/>
          </w:tcPr>
          <w:p w14:paraId="54712A94" w14:textId="62C1FB0E"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2FAB35CD"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4FB93AA6"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8F134D" w:rsidRPr="00AB7556" w:rsidRDefault="008F134D" w:rsidP="008F134D">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41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16,73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3,91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916AA6"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916AA6" w:rsidRPr="00AB7556" w:rsidRDefault="00916AA6" w:rsidP="00916AA6">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916AA6" w:rsidRPr="00AB7556" w:rsidRDefault="00916AA6" w:rsidP="00916AA6">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916AA6" w:rsidRPr="00AB7556" w:rsidRDefault="00916AA6" w:rsidP="00916AA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916AA6" w:rsidRPr="00AB7556" w:rsidRDefault="00916AA6" w:rsidP="00916AA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60013C12" w:rsidR="00916AA6" w:rsidRPr="00916AA6" w:rsidRDefault="00916AA6" w:rsidP="00916AA6">
            <w:pPr>
              <w:jc w:val="center"/>
              <w:rPr>
                <w:rFonts w:cs="Times New Roman"/>
                <w:color w:val="000000"/>
                <w:sz w:val="16"/>
                <w:szCs w:val="16"/>
              </w:rPr>
            </w:pPr>
            <w:r w:rsidRPr="00916AA6">
              <w:rPr>
                <w:color w:val="000000"/>
                <w:sz w:val="16"/>
                <w:szCs w:val="16"/>
              </w:rPr>
              <w:t>1 504 884,84</w:t>
            </w:r>
          </w:p>
        </w:tc>
        <w:tc>
          <w:tcPr>
            <w:tcW w:w="1136" w:type="dxa"/>
            <w:tcBorders>
              <w:top w:val="nil"/>
              <w:left w:val="nil"/>
              <w:bottom w:val="single" w:sz="4" w:space="0" w:color="auto"/>
              <w:right w:val="single" w:sz="4" w:space="0" w:color="auto"/>
            </w:tcBorders>
            <w:shd w:val="clear" w:color="auto" w:fill="auto"/>
            <w:hideMark/>
          </w:tcPr>
          <w:p w14:paraId="0D6C303A" w14:textId="4E2083A6" w:rsidR="00916AA6" w:rsidRPr="00916AA6" w:rsidRDefault="00916AA6" w:rsidP="00916AA6">
            <w:pPr>
              <w:jc w:val="center"/>
              <w:rPr>
                <w:rFonts w:cs="Times New Roman"/>
                <w:color w:val="000000"/>
                <w:sz w:val="16"/>
                <w:szCs w:val="16"/>
              </w:rPr>
            </w:pPr>
            <w:r w:rsidRPr="00916AA6">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86CB56C" w:rsidR="00916AA6" w:rsidRPr="00916AA6" w:rsidRDefault="00916AA6" w:rsidP="00916AA6">
            <w:pPr>
              <w:jc w:val="center"/>
              <w:rPr>
                <w:rFonts w:cs="Times New Roman"/>
                <w:color w:val="000000"/>
                <w:sz w:val="16"/>
                <w:szCs w:val="16"/>
              </w:rPr>
            </w:pPr>
            <w:r w:rsidRPr="00916AA6">
              <w:rPr>
                <w:color w:val="000000"/>
                <w:sz w:val="16"/>
                <w:szCs w:val="16"/>
              </w:rPr>
              <w:t>393 346,19</w:t>
            </w:r>
          </w:p>
        </w:tc>
        <w:tc>
          <w:tcPr>
            <w:tcW w:w="1136" w:type="dxa"/>
            <w:tcBorders>
              <w:top w:val="nil"/>
              <w:left w:val="nil"/>
              <w:bottom w:val="single" w:sz="4" w:space="0" w:color="auto"/>
              <w:right w:val="single" w:sz="4" w:space="0" w:color="auto"/>
            </w:tcBorders>
            <w:shd w:val="clear" w:color="auto" w:fill="auto"/>
            <w:hideMark/>
          </w:tcPr>
          <w:p w14:paraId="5B7F29BB" w14:textId="4CC7D9C4" w:rsidR="00916AA6" w:rsidRPr="00916AA6" w:rsidRDefault="00916AA6" w:rsidP="00916AA6">
            <w:pPr>
              <w:jc w:val="center"/>
              <w:rPr>
                <w:rFonts w:cs="Times New Roman"/>
                <w:color w:val="000000"/>
                <w:sz w:val="16"/>
                <w:szCs w:val="16"/>
              </w:rPr>
            </w:pPr>
            <w:r w:rsidRPr="00916AA6">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78A91149"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3DC05437"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916AA6" w:rsidRPr="00AB7556" w:rsidRDefault="00916AA6" w:rsidP="00916AA6">
            <w:pPr>
              <w:jc w:val="center"/>
              <w:rPr>
                <w:rFonts w:cs="Times New Roman"/>
                <w:color w:val="000000"/>
                <w:sz w:val="16"/>
                <w:szCs w:val="16"/>
              </w:rPr>
            </w:pPr>
            <w:r w:rsidRPr="00AB7556">
              <w:rPr>
                <w:rFonts w:cs="Times New Roman"/>
                <w:color w:val="000000"/>
                <w:sz w:val="16"/>
                <w:szCs w:val="16"/>
              </w:rPr>
              <w:t>Х</w:t>
            </w:r>
          </w:p>
        </w:tc>
      </w:tr>
      <w:tr w:rsidR="00916AA6"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916AA6" w:rsidRPr="00AB7556" w:rsidRDefault="00916AA6" w:rsidP="00916AA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916AA6" w:rsidRPr="00AB7556" w:rsidRDefault="00916AA6" w:rsidP="00916AA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916AA6" w:rsidRPr="00AB7556" w:rsidRDefault="00916AA6" w:rsidP="00916AA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916AA6" w:rsidRPr="00AB7556" w:rsidRDefault="00916AA6" w:rsidP="00916AA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35BC21B3" w:rsidR="00916AA6" w:rsidRPr="00916AA6" w:rsidRDefault="00916AA6" w:rsidP="00916AA6">
            <w:pPr>
              <w:jc w:val="center"/>
              <w:rPr>
                <w:rFonts w:cs="Times New Roman"/>
                <w:color w:val="000000"/>
                <w:sz w:val="16"/>
                <w:szCs w:val="16"/>
              </w:rPr>
            </w:pPr>
            <w:r w:rsidRPr="00916AA6">
              <w:rPr>
                <w:color w:val="000000"/>
                <w:sz w:val="16"/>
                <w:szCs w:val="16"/>
              </w:rPr>
              <w:t>1 422 459,84</w:t>
            </w:r>
          </w:p>
        </w:tc>
        <w:tc>
          <w:tcPr>
            <w:tcW w:w="1136" w:type="dxa"/>
            <w:tcBorders>
              <w:top w:val="nil"/>
              <w:left w:val="nil"/>
              <w:bottom w:val="single" w:sz="4" w:space="0" w:color="auto"/>
              <w:right w:val="single" w:sz="4" w:space="0" w:color="auto"/>
            </w:tcBorders>
            <w:shd w:val="clear" w:color="auto" w:fill="auto"/>
            <w:hideMark/>
          </w:tcPr>
          <w:p w14:paraId="71DF7AC3" w14:textId="0F32A6D5" w:rsidR="00916AA6" w:rsidRPr="00916AA6" w:rsidRDefault="00916AA6" w:rsidP="00916AA6">
            <w:pPr>
              <w:jc w:val="center"/>
              <w:rPr>
                <w:rFonts w:cs="Times New Roman"/>
                <w:color w:val="000000"/>
                <w:sz w:val="16"/>
                <w:szCs w:val="16"/>
              </w:rPr>
            </w:pPr>
            <w:r w:rsidRPr="00916AA6">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4A511AE4" w:rsidR="00916AA6" w:rsidRPr="00916AA6" w:rsidRDefault="00916AA6" w:rsidP="00916AA6">
            <w:pPr>
              <w:jc w:val="center"/>
              <w:rPr>
                <w:rFonts w:cs="Times New Roman"/>
                <w:color w:val="000000"/>
                <w:sz w:val="16"/>
                <w:szCs w:val="16"/>
              </w:rPr>
            </w:pPr>
            <w:r w:rsidRPr="00916AA6">
              <w:rPr>
                <w:color w:val="000000"/>
                <w:sz w:val="16"/>
                <w:szCs w:val="16"/>
              </w:rPr>
              <w:t>393 346,19</w:t>
            </w:r>
          </w:p>
        </w:tc>
        <w:tc>
          <w:tcPr>
            <w:tcW w:w="1136" w:type="dxa"/>
            <w:tcBorders>
              <w:top w:val="nil"/>
              <w:left w:val="nil"/>
              <w:bottom w:val="single" w:sz="4" w:space="0" w:color="auto"/>
              <w:right w:val="single" w:sz="4" w:space="0" w:color="auto"/>
            </w:tcBorders>
            <w:shd w:val="clear" w:color="auto" w:fill="auto"/>
            <w:hideMark/>
          </w:tcPr>
          <w:p w14:paraId="294CF7C7" w14:textId="148FFCDC" w:rsidR="00916AA6" w:rsidRPr="00916AA6" w:rsidRDefault="00916AA6" w:rsidP="00916AA6">
            <w:pPr>
              <w:jc w:val="center"/>
              <w:rPr>
                <w:rFonts w:cs="Times New Roman"/>
                <w:color w:val="000000"/>
                <w:sz w:val="16"/>
                <w:szCs w:val="16"/>
              </w:rPr>
            </w:pPr>
            <w:r w:rsidRPr="00916AA6">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373F8076"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3F40DFA2"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916AA6" w:rsidRPr="00AB7556" w:rsidRDefault="00916AA6" w:rsidP="00916AA6">
            <w:pPr>
              <w:rPr>
                <w:rFonts w:cs="Times New Roman"/>
                <w:color w:val="000000"/>
                <w:sz w:val="16"/>
                <w:szCs w:val="16"/>
              </w:rPr>
            </w:pPr>
          </w:p>
        </w:tc>
      </w:tr>
      <w:tr w:rsidR="00916AA6"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916AA6" w:rsidRPr="00AB7556" w:rsidRDefault="00916AA6" w:rsidP="00916AA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916AA6" w:rsidRPr="00AB7556" w:rsidRDefault="00916AA6" w:rsidP="00916AA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916AA6" w:rsidRPr="00AB7556" w:rsidRDefault="00916AA6" w:rsidP="00916AA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916AA6" w:rsidRPr="00AB7556" w:rsidRDefault="00916AA6" w:rsidP="00916AA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6ACAC566" w:rsidR="00916AA6" w:rsidRPr="00916AA6" w:rsidRDefault="00916AA6" w:rsidP="00916AA6">
            <w:pPr>
              <w:jc w:val="center"/>
              <w:rPr>
                <w:rFonts w:cs="Times New Roman"/>
                <w:color w:val="000000"/>
                <w:sz w:val="16"/>
                <w:szCs w:val="16"/>
              </w:rPr>
            </w:pPr>
            <w:r w:rsidRPr="00916AA6">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2F126523" w:rsidR="00916AA6" w:rsidRPr="00916AA6" w:rsidRDefault="00916AA6" w:rsidP="00916AA6">
            <w:pPr>
              <w:jc w:val="center"/>
              <w:rPr>
                <w:rFonts w:cs="Times New Roman"/>
                <w:color w:val="000000"/>
                <w:sz w:val="16"/>
                <w:szCs w:val="16"/>
              </w:rPr>
            </w:pPr>
            <w:r w:rsidRPr="00916AA6">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0566CAAA"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78704E5D"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1E7B1532"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6A63FE0C"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916AA6" w:rsidRPr="00AB7556" w:rsidRDefault="00916AA6" w:rsidP="00916AA6">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lastRenderedPageBreak/>
              <w:t>в том числе по главным распорядителям бюджетных средств:</w:t>
            </w:r>
          </w:p>
        </w:tc>
      </w:tr>
      <w:tr w:rsidR="000B71CF"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0B71CF" w:rsidRPr="00AB7556" w:rsidRDefault="000B71CF" w:rsidP="000B71CF">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0B71CF" w:rsidRPr="00AB7556" w:rsidRDefault="000B71CF" w:rsidP="000B71CF">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0B71CF" w:rsidRPr="00AB7556" w:rsidRDefault="000B71CF" w:rsidP="000B71CF">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0B71CF" w:rsidRPr="00AB7556" w:rsidRDefault="000B71CF" w:rsidP="000B71CF">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3EC960F2" w:rsidR="000B71CF" w:rsidRPr="00C242FF" w:rsidRDefault="000B71CF" w:rsidP="000B71CF">
            <w:pPr>
              <w:jc w:val="center"/>
              <w:rPr>
                <w:rFonts w:cs="Times New Roman"/>
                <w:color w:val="000000"/>
                <w:sz w:val="16"/>
                <w:szCs w:val="16"/>
              </w:rPr>
            </w:pPr>
            <w:r w:rsidRPr="00C242FF">
              <w:rPr>
                <w:rFonts w:cs="Times New Roman"/>
                <w:color w:val="000000"/>
                <w:sz w:val="16"/>
                <w:szCs w:val="16"/>
              </w:rPr>
              <w:t>1 503 758,84</w:t>
            </w:r>
          </w:p>
        </w:tc>
        <w:tc>
          <w:tcPr>
            <w:tcW w:w="1136" w:type="dxa"/>
            <w:tcBorders>
              <w:top w:val="nil"/>
              <w:left w:val="nil"/>
              <w:bottom w:val="single" w:sz="4" w:space="0" w:color="auto"/>
              <w:right w:val="single" w:sz="4" w:space="0" w:color="auto"/>
            </w:tcBorders>
            <w:shd w:val="clear" w:color="auto" w:fill="auto"/>
            <w:hideMark/>
          </w:tcPr>
          <w:p w14:paraId="13F9AA63" w14:textId="5B1B4B83" w:rsidR="000B71CF" w:rsidRPr="00C242FF" w:rsidRDefault="000B71CF" w:rsidP="000B71CF">
            <w:pPr>
              <w:jc w:val="center"/>
              <w:rPr>
                <w:rFonts w:cs="Times New Roman"/>
                <w:color w:val="000000"/>
                <w:sz w:val="16"/>
                <w:szCs w:val="16"/>
              </w:rPr>
            </w:pPr>
            <w:r w:rsidRPr="00C242FF">
              <w:rPr>
                <w:rFonts w:cs="Times New Roman"/>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6ED2FEC8" w:rsidR="000B71CF" w:rsidRPr="00C242FF" w:rsidRDefault="000B71CF" w:rsidP="000B71CF">
            <w:pPr>
              <w:jc w:val="center"/>
              <w:rPr>
                <w:rFonts w:cs="Times New Roman"/>
                <w:color w:val="000000"/>
                <w:sz w:val="16"/>
                <w:szCs w:val="16"/>
              </w:rPr>
            </w:pPr>
            <w:r w:rsidRPr="00C242FF">
              <w:rPr>
                <w:rFonts w:cs="Times New Roman"/>
                <w:color w:val="000000"/>
                <w:sz w:val="16"/>
                <w:szCs w:val="16"/>
              </w:rPr>
              <w:t>393 146,19</w:t>
            </w:r>
          </w:p>
        </w:tc>
        <w:tc>
          <w:tcPr>
            <w:tcW w:w="1136" w:type="dxa"/>
            <w:tcBorders>
              <w:top w:val="nil"/>
              <w:left w:val="nil"/>
              <w:bottom w:val="single" w:sz="4" w:space="0" w:color="auto"/>
              <w:right w:val="single" w:sz="4" w:space="0" w:color="auto"/>
            </w:tcBorders>
            <w:shd w:val="clear" w:color="auto" w:fill="auto"/>
            <w:hideMark/>
          </w:tcPr>
          <w:p w14:paraId="63AF0C31" w14:textId="5E4F3798" w:rsidR="000B71CF" w:rsidRPr="000B71CF" w:rsidRDefault="000B71CF" w:rsidP="000B71CF">
            <w:pPr>
              <w:jc w:val="center"/>
              <w:rPr>
                <w:rFonts w:cs="Times New Roman"/>
                <w:color w:val="000000"/>
                <w:sz w:val="16"/>
                <w:szCs w:val="16"/>
              </w:rPr>
            </w:pPr>
            <w:r w:rsidRPr="000B71C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4D73AB29" w14:textId="553D3462"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97A2B4B" w14:textId="73C3AFC3"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0B71CF" w:rsidRPr="00AB7556" w:rsidRDefault="000B71CF" w:rsidP="000B71CF">
            <w:pPr>
              <w:jc w:val="center"/>
              <w:rPr>
                <w:rFonts w:cs="Times New Roman"/>
                <w:color w:val="000000"/>
                <w:sz w:val="16"/>
                <w:szCs w:val="16"/>
              </w:rPr>
            </w:pPr>
            <w:r w:rsidRPr="00AB7556">
              <w:rPr>
                <w:rFonts w:cs="Times New Roman"/>
                <w:color w:val="000000"/>
                <w:sz w:val="16"/>
                <w:szCs w:val="16"/>
              </w:rPr>
              <w:t>Х</w:t>
            </w:r>
          </w:p>
        </w:tc>
      </w:tr>
      <w:tr w:rsidR="000B71CF"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0B71CF" w:rsidRPr="00AB7556" w:rsidRDefault="000B71CF" w:rsidP="000B71CF">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0B71CF" w:rsidRPr="00AB7556" w:rsidRDefault="000B71CF" w:rsidP="000B71C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0B71CF" w:rsidRPr="00AB7556" w:rsidRDefault="000B71CF" w:rsidP="000B71C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0B71CF" w:rsidRPr="00AB7556" w:rsidRDefault="000B71CF" w:rsidP="000B71CF">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720A4D4B" w:rsidR="000B71CF" w:rsidRPr="00C242FF" w:rsidRDefault="000B71CF" w:rsidP="000B71CF">
            <w:pPr>
              <w:jc w:val="center"/>
              <w:rPr>
                <w:rFonts w:cs="Times New Roman"/>
                <w:color w:val="000000"/>
                <w:sz w:val="16"/>
                <w:szCs w:val="16"/>
              </w:rPr>
            </w:pPr>
            <w:r w:rsidRPr="00C242FF">
              <w:rPr>
                <w:rFonts w:cs="Times New Roman"/>
                <w:color w:val="000000"/>
                <w:sz w:val="16"/>
                <w:szCs w:val="16"/>
              </w:rPr>
              <w:t>1 421 333,84</w:t>
            </w:r>
          </w:p>
        </w:tc>
        <w:tc>
          <w:tcPr>
            <w:tcW w:w="1136" w:type="dxa"/>
            <w:tcBorders>
              <w:top w:val="nil"/>
              <w:left w:val="nil"/>
              <w:bottom w:val="single" w:sz="4" w:space="0" w:color="auto"/>
              <w:right w:val="single" w:sz="4" w:space="0" w:color="auto"/>
            </w:tcBorders>
            <w:shd w:val="clear" w:color="auto" w:fill="auto"/>
            <w:hideMark/>
          </w:tcPr>
          <w:p w14:paraId="20F89125" w14:textId="21D023A3" w:rsidR="000B71CF" w:rsidRPr="00C242FF" w:rsidRDefault="000B71CF" w:rsidP="000B71CF">
            <w:pPr>
              <w:jc w:val="center"/>
              <w:rPr>
                <w:rFonts w:cs="Times New Roman"/>
                <w:color w:val="000000"/>
                <w:sz w:val="16"/>
                <w:szCs w:val="16"/>
              </w:rPr>
            </w:pPr>
            <w:r w:rsidRPr="00C242FF">
              <w:rPr>
                <w:rFonts w:cs="Times New Roman"/>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4E168DEE" w:rsidR="000B71CF" w:rsidRPr="00C242FF" w:rsidRDefault="000B71CF" w:rsidP="000B71CF">
            <w:pPr>
              <w:jc w:val="center"/>
              <w:rPr>
                <w:rFonts w:cs="Times New Roman"/>
                <w:color w:val="000000"/>
                <w:sz w:val="16"/>
                <w:szCs w:val="16"/>
              </w:rPr>
            </w:pPr>
            <w:r w:rsidRPr="00C242FF">
              <w:rPr>
                <w:rFonts w:cs="Times New Roman"/>
                <w:color w:val="000000"/>
                <w:sz w:val="16"/>
                <w:szCs w:val="16"/>
              </w:rPr>
              <w:t>393 146,19</w:t>
            </w:r>
          </w:p>
        </w:tc>
        <w:tc>
          <w:tcPr>
            <w:tcW w:w="1136" w:type="dxa"/>
            <w:tcBorders>
              <w:top w:val="nil"/>
              <w:left w:val="nil"/>
              <w:bottom w:val="single" w:sz="4" w:space="0" w:color="auto"/>
              <w:right w:val="single" w:sz="4" w:space="0" w:color="auto"/>
            </w:tcBorders>
            <w:shd w:val="clear" w:color="auto" w:fill="auto"/>
            <w:hideMark/>
          </w:tcPr>
          <w:p w14:paraId="3B2748F3" w14:textId="2A11C692" w:rsidR="000B71CF" w:rsidRPr="000B71CF" w:rsidRDefault="000B71CF" w:rsidP="000B71CF">
            <w:pPr>
              <w:jc w:val="center"/>
              <w:rPr>
                <w:rFonts w:cs="Times New Roman"/>
                <w:color w:val="000000"/>
                <w:sz w:val="16"/>
                <w:szCs w:val="16"/>
              </w:rPr>
            </w:pPr>
            <w:r w:rsidRPr="000B71C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6D266239" w14:textId="7F203631"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4931DA3" w14:textId="5872B87E"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0B71CF" w:rsidRPr="00AB7556" w:rsidRDefault="000B71CF" w:rsidP="000B71CF">
            <w:pPr>
              <w:rPr>
                <w:rFonts w:cs="Times New Roman"/>
                <w:color w:val="000000"/>
                <w:sz w:val="16"/>
                <w:szCs w:val="16"/>
              </w:rPr>
            </w:pPr>
          </w:p>
        </w:tc>
      </w:tr>
      <w:tr w:rsidR="000B71CF"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0B71CF" w:rsidRPr="00AB7556" w:rsidRDefault="000B71CF" w:rsidP="000B71CF">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0B71CF" w:rsidRPr="00AB7556" w:rsidRDefault="000B71CF" w:rsidP="000B71C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0B71CF" w:rsidRPr="00AB7556" w:rsidRDefault="000B71CF" w:rsidP="000B71C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0B71CF" w:rsidRPr="00AB7556" w:rsidRDefault="000B71CF" w:rsidP="000B71CF">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7E16E4A4" w:rsidR="000B71CF" w:rsidRPr="00C242FF" w:rsidRDefault="000B71CF" w:rsidP="000B71CF">
            <w:pPr>
              <w:jc w:val="center"/>
              <w:rPr>
                <w:rFonts w:cs="Times New Roman"/>
                <w:color w:val="000000"/>
                <w:sz w:val="16"/>
                <w:szCs w:val="16"/>
              </w:rPr>
            </w:pPr>
            <w:r w:rsidRPr="00C242FF">
              <w:rPr>
                <w:rFonts w:cs="Times New Roman"/>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0B13364F" w:rsidR="000B71CF" w:rsidRPr="00C242FF" w:rsidRDefault="000B71CF" w:rsidP="000B71CF">
            <w:pPr>
              <w:jc w:val="center"/>
              <w:rPr>
                <w:rFonts w:cs="Times New Roman"/>
                <w:color w:val="000000"/>
                <w:sz w:val="16"/>
                <w:szCs w:val="16"/>
              </w:rPr>
            </w:pPr>
            <w:r w:rsidRPr="00C242FF">
              <w:rPr>
                <w:rFonts w:cs="Times New Roman"/>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449D9ECD" w:rsidR="000B71CF" w:rsidRPr="00C242FF" w:rsidRDefault="000B71CF" w:rsidP="000B71CF">
            <w:pPr>
              <w:jc w:val="center"/>
              <w:rPr>
                <w:rFonts w:cs="Times New Roman"/>
                <w:color w:val="000000"/>
                <w:sz w:val="16"/>
                <w:szCs w:val="16"/>
              </w:rPr>
            </w:pPr>
            <w:r w:rsidRPr="00C242FF">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1782DDC5" w:rsidR="000B71CF" w:rsidRPr="000B71CF" w:rsidRDefault="000B71CF" w:rsidP="000B71CF">
            <w:pPr>
              <w:jc w:val="center"/>
              <w:rPr>
                <w:rFonts w:cs="Times New Roman"/>
                <w:color w:val="000000"/>
                <w:sz w:val="16"/>
                <w:szCs w:val="16"/>
              </w:rPr>
            </w:pPr>
            <w:r w:rsidRPr="000B71C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35EE78B5" w:rsidR="000B71CF" w:rsidRPr="000B71CF" w:rsidRDefault="000B71CF" w:rsidP="000B71CF">
            <w:pPr>
              <w:jc w:val="center"/>
              <w:rPr>
                <w:rFonts w:cs="Times New Roman"/>
                <w:color w:val="000000"/>
                <w:sz w:val="16"/>
                <w:szCs w:val="16"/>
              </w:rPr>
            </w:pPr>
            <w:r w:rsidRPr="000B71C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57EBD4F3" w:rsidR="000B71CF" w:rsidRPr="000B71CF" w:rsidRDefault="000B71CF" w:rsidP="000B71CF">
            <w:pPr>
              <w:jc w:val="center"/>
              <w:rPr>
                <w:rFonts w:cs="Times New Roman"/>
                <w:color w:val="000000"/>
                <w:sz w:val="16"/>
                <w:szCs w:val="16"/>
              </w:rPr>
            </w:pPr>
            <w:r w:rsidRPr="000B71C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0B71CF" w:rsidRPr="00AB7556" w:rsidRDefault="000B71CF" w:rsidP="000B71CF">
            <w:pPr>
              <w:rPr>
                <w:rFonts w:cs="Times New Roman"/>
                <w:color w:val="000000"/>
                <w:sz w:val="16"/>
                <w:szCs w:val="16"/>
              </w:rPr>
            </w:pPr>
          </w:p>
        </w:tc>
      </w:tr>
      <w:tr w:rsidR="001B00F1"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AB7556" w:rsidRPr="00AB7556" w:rsidRDefault="00AB7556" w:rsidP="00AB7556">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876,00</w:t>
            </w:r>
          </w:p>
        </w:tc>
        <w:tc>
          <w:tcPr>
            <w:tcW w:w="1136" w:type="dxa"/>
            <w:tcBorders>
              <w:top w:val="nil"/>
              <w:left w:val="nil"/>
              <w:bottom w:val="single" w:sz="4" w:space="0" w:color="auto"/>
              <w:right w:val="single" w:sz="4" w:space="0" w:color="auto"/>
            </w:tcBorders>
            <w:shd w:val="clear" w:color="auto" w:fill="auto"/>
            <w:hideMark/>
          </w:tcPr>
          <w:p w14:paraId="30AC1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6" w:type="dxa"/>
            <w:tcBorders>
              <w:top w:val="nil"/>
              <w:left w:val="nil"/>
              <w:bottom w:val="single" w:sz="4" w:space="0" w:color="auto"/>
              <w:right w:val="single" w:sz="4" w:space="0" w:color="auto"/>
            </w:tcBorders>
            <w:shd w:val="clear" w:color="auto" w:fill="auto"/>
            <w:hideMark/>
          </w:tcPr>
          <w:p w14:paraId="119FE0E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AB7556" w:rsidRPr="00AB7556" w:rsidRDefault="00AB7556" w:rsidP="00AB755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876,00</w:t>
            </w:r>
          </w:p>
        </w:tc>
        <w:tc>
          <w:tcPr>
            <w:tcW w:w="1136" w:type="dxa"/>
            <w:tcBorders>
              <w:top w:val="nil"/>
              <w:left w:val="nil"/>
              <w:bottom w:val="single" w:sz="4" w:space="0" w:color="auto"/>
              <w:right w:val="single" w:sz="4" w:space="0" w:color="auto"/>
            </w:tcBorders>
            <w:shd w:val="clear" w:color="auto" w:fill="auto"/>
            <w:hideMark/>
          </w:tcPr>
          <w:p w14:paraId="30BE5D7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6" w:type="dxa"/>
            <w:tcBorders>
              <w:top w:val="nil"/>
              <w:left w:val="nil"/>
              <w:bottom w:val="single" w:sz="4" w:space="0" w:color="auto"/>
              <w:right w:val="single" w:sz="4" w:space="0" w:color="auto"/>
            </w:tcBorders>
            <w:shd w:val="clear" w:color="auto" w:fill="auto"/>
            <w:hideMark/>
          </w:tcPr>
          <w:p w14:paraId="2F6FEB5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AB7556" w:rsidRPr="00AB7556" w:rsidRDefault="00AB7556" w:rsidP="00AB7556">
            <w:pPr>
              <w:rPr>
                <w:rFonts w:cs="Times New Roman"/>
                <w:color w:val="000000"/>
                <w:sz w:val="16"/>
                <w:szCs w:val="16"/>
              </w:rPr>
            </w:pPr>
          </w:p>
        </w:tc>
      </w:tr>
      <w:tr w:rsidR="001B00F1"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AB7556" w:rsidRPr="00AB7556" w:rsidRDefault="00AB7556" w:rsidP="00AB755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AB7556" w:rsidRPr="00AB7556" w:rsidRDefault="00AB7556" w:rsidP="00AB7556">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7B51120E" w:rsidR="00AB7556" w:rsidRDefault="00AB7556"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lastRenderedPageBreak/>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w:t>
            </w:r>
            <w:r w:rsidRPr="00260A19">
              <w:rPr>
                <w:sz w:val="20"/>
                <w:szCs w:val="20"/>
              </w:rPr>
              <w:lastRenderedPageBreak/>
              <w:t xml:space="preserve">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lastRenderedPageBreak/>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lastRenderedPageBreak/>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bookmarkStart w:id="3" w:name="_GoBack"/>
      <w:bookmarkEnd w:id="3"/>
    </w:p>
    <w:sectPr w:rsidR="00523D50" w:rsidRPr="00260A19" w:rsidSect="008865DD">
      <w:headerReference w:type="default" r:id="rId12"/>
      <w:footerReference w:type="even" r:id="rId13"/>
      <w:footerReference w:type="default" r:id="rId14"/>
      <w:pgSz w:w="16838" w:h="11906" w:orient="landscape"/>
      <w:pgMar w:top="426" w:right="1134" w:bottom="1134"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347DA" w14:textId="77777777" w:rsidR="005F0142" w:rsidRDefault="005F0142" w:rsidP="00DA24D6">
      <w:r>
        <w:separator/>
      </w:r>
    </w:p>
  </w:endnote>
  <w:endnote w:type="continuationSeparator" w:id="0">
    <w:p w14:paraId="6562BE90" w14:textId="77777777" w:rsidR="005F0142" w:rsidRDefault="005F014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68D08" w14:textId="77777777" w:rsidR="005F0142" w:rsidRDefault="005F0142" w:rsidP="00DA24D6">
      <w:r>
        <w:separator/>
      </w:r>
    </w:p>
  </w:footnote>
  <w:footnote w:type="continuationSeparator" w:id="0">
    <w:p w14:paraId="059C05D3" w14:textId="77777777" w:rsidR="005F0142" w:rsidRDefault="005F014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906697">
      <w:rPr>
        <w:noProof/>
      </w:rPr>
      <w:t>2</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3D61"/>
    <w:rsid w:val="000549C2"/>
    <w:rsid w:val="00055128"/>
    <w:rsid w:val="00055E58"/>
    <w:rsid w:val="00060182"/>
    <w:rsid w:val="00067B44"/>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4B51"/>
    <w:rsid w:val="000E761D"/>
    <w:rsid w:val="000F4A74"/>
    <w:rsid w:val="000F4C4F"/>
    <w:rsid w:val="000F4FA3"/>
    <w:rsid w:val="0010067D"/>
    <w:rsid w:val="00104859"/>
    <w:rsid w:val="0010657A"/>
    <w:rsid w:val="00106EC7"/>
    <w:rsid w:val="00106FFD"/>
    <w:rsid w:val="0012238F"/>
    <w:rsid w:val="00125556"/>
    <w:rsid w:val="001279CE"/>
    <w:rsid w:val="00131FE0"/>
    <w:rsid w:val="00133F78"/>
    <w:rsid w:val="00135D18"/>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00F1"/>
    <w:rsid w:val="001B1D4C"/>
    <w:rsid w:val="001B29E4"/>
    <w:rsid w:val="001B6C18"/>
    <w:rsid w:val="001C34AC"/>
    <w:rsid w:val="001D2028"/>
    <w:rsid w:val="001E152C"/>
    <w:rsid w:val="001F7CB2"/>
    <w:rsid w:val="00203B44"/>
    <w:rsid w:val="00204F21"/>
    <w:rsid w:val="00211AC7"/>
    <w:rsid w:val="00212ED6"/>
    <w:rsid w:val="00214980"/>
    <w:rsid w:val="002208F9"/>
    <w:rsid w:val="002217DD"/>
    <w:rsid w:val="00223060"/>
    <w:rsid w:val="00235ED3"/>
    <w:rsid w:val="00240057"/>
    <w:rsid w:val="0024040E"/>
    <w:rsid w:val="00244B05"/>
    <w:rsid w:val="00246098"/>
    <w:rsid w:val="00251B66"/>
    <w:rsid w:val="00251CCB"/>
    <w:rsid w:val="00251DD6"/>
    <w:rsid w:val="00260A19"/>
    <w:rsid w:val="002636F3"/>
    <w:rsid w:val="00265393"/>
    <w:rsid w:val="002655BE"/>
    <w:rsid w:val="00265BCA"/>
    <w:rsid w:val="00273625"/>
    <w:rsid w:val="00274368"/>
    <w:rsid w:val="00274DE4"/>
    <w:rsid w:val="00277514"/>
    <w:rsid w:val="00280E17"/>
    <w:rsid w:val="00287867"/>
    <w:rsid w:val="002913DA"/>
    <w:rsid w:val="002C2ABF"/>
    <w:rsid w:val="002C4E4E"/>
    <w:rsid w:val="002D43AF"/>
    <w:rsid w:val="002D7EF8"/>
    <w:rsid w:val="002E1575"/>
    <w:rsid w:val="002E1EF7"/>
    <w:rsid w:val="002E2EDA"/>
    <w:rsid w:val="002E31F0"/>
    <w:rsid w:val="002E3DB4"/>
    <w:rsid w:val="002E796F"/>
    <w:rsid w:val="003039EE"/>
    <w:rsid w:val="00305243"/>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22A8"/>
    <w:rsid w:val="003865F7"/>
    <w:rsid w:val="0039446C"/>
    <w:rsid w:val="00395DCA"/>
    <w:rsid w:val="003A09F4"/>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19A4"/>
    <w:rsid w:val="00452D06"/>
    <w:rsid w:val="004538C7"/>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077FD"/>
    <w:rsid w:val="00512153"/>
    <w:rsid w:val="00512C73"/>
    <w:rsid w:val="00513775"/>
    <w:rsid w:val="0051578B"/>
    <w:rsid w:val="00515EC2"/>
    <w:rsid w:val="005160BD"/>
    <w:rsid w:val="0052221C"/>
    <w:rsid w:val="0052329A"/>
    <w:rsid w:val="00523D50"/>
    <w:rsid w:val="00527005"/>
    <w:rsid w:val="005279E4"/>
    <w:rsid w:val="00543B2F"/>
    <w:rsid w:val="00543DF3"/>
    <w:rsid w:val="00543F90"/>
    <w:rsid w:val="00545F1F"/>
    <w:rsid w:val="0054705B"/>
    <w:rsid w:val="0054756E"/>
    <w:rsid w:val="005475BE"/>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142"/>
    <w:rsid w:val="005F0520"/>
    <w:rsid w:val="005F3F54"/>
    <w:rsid w:val="00601989"/>
    <w:rsid w:val="00607783"/>
    <w:rsid w:val="0061418B"/>
    <w:rsid w:val="006161E9"/>
    <w:rsid w:val="006225B0"/>
    <w:rsid w:val="0062289E"/>
    <w:rsid w:val="00623483"/>
    <w:rsid w:val="00623A2C"/>
    <w:rsid w:val="00624B54"/>
    <w:rsid w:val="00633353"/>
    <w:rsid w:val="0064509F"/>
    <w:rsid w:val="00654D06"/>
    <w:rsid w:val="00655507"/>
    <w:rsid w:val="00661862"/>
    <w:rsid w:val="006631BE"/>
    <w:rsid w:val="00674124"/>
    <w:rsid w:val="00677BB3"/>
    <w:rsid w:val="00681D1D"/>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BA3"/>
    <w:rsid w:val="00721D6A"/>
    <w:rsid w:val="0072220D"/>
    <w:rsid w:val="0072255B"/>
    <w:rsid w:val="00722AEF"/>
    <w:rsid w:val="00740DB4"/>
    <w:rsid w:val="0075009E"/>
    <w:rsid w:val="00750873"/>
    <w:rsid w:val="00764E3F"/>
    <w:rsid w:val="0076563B"/>
    <w:rsid w:val="00766ECA"/>
    <w:rsid w:val="00770635"/>
    <w:rsid w:val="00777141"/>
    <w:rsid w:val="00782CC7"/>
    <w:rsid w:val="0078517D"/>
    <w:rsid w:val="00792D9B"/>
    <w:rsid w:val="00796945"/>
    <w:rsid w:val="007A71FF"/>
    <w:rsid w:val="007B3667"/>
    <w:rsid w:val="007C021B"/>
    <w:rsid w:val="007C0AC9"/>
    <w:rsid w:val="007C6283"/>
    <w:rsid w:val="007D117A"/>
    <w:rsid w:val="007D308F"/>
    <w:rsid w:val="007D3E2F"/>
    <w:rsid w:val="007D57AE"/>
    <w:rsid w:val="007F0DF6"/>
    <w:rsid w:val="007F5E9E"/>
    <w:rsid w:val="007F698B"/>
    <w:rsid w:val="00813CCA"/>
    <w:rsid w:val="00821801"/>
    <w:rsid w:val="00821BBE"/>
    <w:rsid w:val="00835EB7"/>
    <w:rsid w:val="00836D7C"/>
    <w:rsid w:val="00841784"/>
    <w:rsid w:val="008421C3"/>
    <w:rsid w:val="00845208"/>
    <w:rsid w:val="00847C66"/>
    <w:rsid w:val="00847E5B"/>
    <w:rsid w:val="00861251"/>
    <w:rsid w:val="0086394A"/>
    <w:rsid w:val="00863BB7"/>
    <w:rsid w:val="00864F39"/>
    <w:rsid w:val="008724D4"/>
    <w:rsid w:val="008754FD"/>
    <w:rsid w:val="0087679B"/>
    <w:rsid w:val="008808E0"/>
    <w:rsid w:val="0088110B"/>
    <w:rsid w:val="008855D4"/>
    <w:rsid w:val="008865DD"/>
    <w:rsid w:val="0089581C"/>
    <w:rsid w:val="008962CC"/>
    <w:rsid w:val="008A05B2"/>
    <w:rsid w:val="008A5D95"/>
    <w:rsid w:val="008C2987"/>
    <w:rsid w:val="008C53E0"/>
    <w:rsid w:val="008D4114"/>
    <w:rsid w:val="008E2E70"/>
    <w:rsid w:val="008E4A88"/>
    <w:rsid w:val="008E4AEA"/>
    <w:rsid w:val="008E57B1"/>
    <w:rsid w:val="008E5E64"/>
    <w:rsid w:val="008F134D"/>
    <w:rsid w:val="008F3050"/>
    <w:rsid w:val="008F571C"/>
    <w:rsid w:val="008F6BD4"/>
    <w:rsid w:val="00901DF8"/>
    <w:rsid w:val="00902477"/>
    <w:rsid w:val="00902DD2"/>
    <w:rsid w:val="00906558"/>
    <w:rsid w:val="00906697"/>
    <w:rsid w:val="009079E8"/>
    <w:rsid w:val="00912A89"/>
    <w:rsid w:val="00914EB5"/>
    <w:rsid w:val="00916AA6"/>
    <w:rsid w:val="00916EC8"/>
    <w:rsid w:val="00922512"/>
    <w:rsid w:val="00931123"/>
    <w:rsid w:val="00931221"/>
    <w:rsid w:val="00935048"/>
    <w:rsid w:val="00935EBA"/>
    <w:rsid w:val="00940085"/>
    <w:rsid w:val="00943AC1"/>
    <w:rsid w:val="00945E07"/>
    <w:rsid w:val="00952AA8"/>
    <w:rsid w:val="009558A0"/>
    <w:rsid w:val="0095618F"/>
    <w:rsid w:val="0096396F"/>
    <w:rsid w:val="00980614"/>
    <w:rsid w:val="009814FE"/>
    <w:rsid w:val="00984167"/>
    <w:rsid w:val="00995BC2"/>
    <w:rsid w:val="0099762E"/>
    <w:rsid w:val="009A1308"/>
    <w:rsid w:val="009A19A1"/>
    <w:rsid w:val="009A4434"/>
    <w:rsid w:val="009A4F22"/>
    <w:rsid w:val="009A7F91"/>
    <w:rsid w:val="009B09F5"/>
    <w:rsid w:val="009B109A"/>
    <w:rsid w:val="009B3584"/>
    <w:rsid w:val="009B7EDB"/>
    <w:rsid w:val="009C3450"/>
    <w:rsid w:val="009C4E3B"/>
    <w:rsid w:val="009C4F65"/>
    <w:rsid w:val="009C72B4"/>
    <w:rsid w:val="009D0C35"/>
    <w:rsid w:val="009D40D0"/>
    <w:rsid w:val="009D6E7A"/>
    <w:rsid w:val="009E6E9F"/>
    <w:rsid w:val="009F1342"/>
    <w:rsid w:val="009F19FE"/>
    <w:rsid w:val="009F4423"/>
    <w:rsid w:val="009F5450"/>
    <w:rsid w:val="009F60F5"/>
    <w:rsid w:val="00A038C5"/>
    <w:rsid w:val="00A06E30"/>
    <w:rsid w:val="00A14E53"/>
    <w:rsid w:val="00A16C73"/>
    <w:rsid w:val="00A173F2"/>
    <w:rsid w:val="00A21097"/>
    <w:rsid w:val="00A21D7F"/>
    <w:rsid w:val="00A221D6"/>
    <w:rsid w:val="00A2631F"/>
    <w:rsid w:val="00A275B8"/>
    <w:rsid w:val="00A35E50"/>
    <w:rsid w:val="00A37D17"/>
    <w:rsid w:val="00A42E89"/>
    <w:rsid w:val="00A555F5"/>
    <w:rsid w:val="00A56ACB"/>
    <w:rsid w:val="00A60D2F"/>
    <w:rsid w:val="00A60DF8"/>
    <w:rsid w:val="00A62031"/>
    <w:rsid w:val="00A6718C"/>
    <w:rsid w:val="00A7757F"/>
    <w:rsid w:val="00A8176C"/>
    <w:rsid w:val="00A82DDA"/>
    <w:rsid w:val="00A84A36"/>
    <w:rsid w:val="00A96B40"/>
    <w:rsid w:val="00A97C6A"/>
    <w:rsid w:val="00AA2C4B"/>
    <w:rsid w:val="00AA4812"/>
    <w:rsid w:val="00AB7556"/>
    <w:rsid w:val="00AC4A0D"/>
    <w:rsid w:val="00AC4C04"/>
    <w:rsid w:val="00AC62BF"/>
    <w:rsid w:val="00AF4A4A"/>
    <w:rsid w:val="00B02A0A"/>
    <w:rsid w:val="00B0521B"/>
    <w:rsid w:val="00B05522"/>
    <w:rsid w:val="00B058E2"/>
    <w:rsid w:val="00B11681"/>
    <w:rsid w:val="00B13C32"/>
    <w:rsid w:val="00B22D32"/>
    <w:rsid w:val="00B303C0"/>
    <w:rsid w:val="00B323FC"/>
    <w:rsid w:val="00B3413F"/>
    <w:rsid w:val="00B35148"/>
    <w:rsid w:val="00B54AA3"/>
    <w:rsid w:val="00B54F43"/>
    <w:rsid w:val="00B57E7E"/>
    <w:rsid w:val="00B74544"/>
    <w:rsid w:val="00B75C77"/>
    <w:rsid w:val="00B77B7A"/>
    <w:rsid w:val="00B81232"/>
    <w:rsid w:val="00B82F45"/>
    <w:rsid w:val="00B838B1"/>
    <w:rsid w:val="00B8413A"/>
    <w:rsid w:val="00B86266"/>
    <w:rsid w:val="00B867A7"/>
    <w:rsid w:val="00B86989"/>
    <w:rsid w:val="00B979C7"/>
    <w:rsid w:val="00BA4B54"/>
    <w:rsid w:val="00BB1AE9"/>
    <w:rsid w:val="00BC06F8"/>
    <w:rsid w:val="00BC3EAD"/>
    <w:rsid w:val="00BC67EE"/>
    <w:rsid w:val="00BD08AC"/>
    <w:rsid w:val="00BD4267"/>
    <w:rsid w:val="00BD6E2C"/>
    <w:rsid w:val="00BE5B75"/>
    <w:rsid w:val="00BE77D2"/>
    <w:rsid w:val="00BF2A2D"/>
    <w:rsid w:val="00BF6853"/>
    <w:rsid w:val="00C01EEB"/>
    <w:rsid w:val="00C03CFF"/>
    <w:rsid w:val="00C10F78"/>
    <w:rsid w:val="00C120AD"/>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A6488"/>
    <w:rsid w:val="00CB03D5"/>
    <w:rsid w:val="00CB04D0"/>
    <w:rsid w:val="00CB5158"/>
    <w:rsid w:val="00CB5379"/>
    <w:rsid w:val="00CB6E42"/>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590"/>
    <w:rsid w:val="00F53D6B"/>
    <w:rsid w:val="00F54E24"/>
    <w:rsid w:val="00F56CA3"/>
    <w:rsid w:val="00F57937"/>
    <w:rsid w:val="00F6299D"/>
    <w:rsid w:val="00F63DB6"/>
    <w:rsid w:val="00F67C8B"/>
    <w:rsid w:val="00F67EB7"/>
    <w:rsid w:val="00F70FC6"/>
    <w:rsid w:val="00F729BA"/>
    <w:rsid w:val="00F83CE4"/>
    <w:rsid w:val="00F911DE"/>
    <w:rsid w:val="00F9704D"/>
    <w:rsid w:val="00FA08EB"/>
    <w:rsid w:val="00FA480E"/>
    <w:rsid w:val="00FA5E10"/>
    <w:rsid w:val="00FA75BD"/>
    <w:rsid w:val="00FA7E6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4762</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71</cp:revision>
  <cp:lastPrinted>2024-02-08T06:03:00Z</cp:lastPrinted>
  <dcterms:created xsi:type="dcterms:W3CDTF">2024-01-16T14:10:00Z</dcterms:created>
  <dcterms:modified xsi:type="dcterms:W3CDTF">2024-03-04T11:43:00Z</dcterms:modified>
</cp:coreProperties>
</file>