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Об утверждении перечня главных администраторов доходов бюджета городского округа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4C67D9" w:rsidRDefault="005A5454" w:rsidP="0098069D">
      <w:pPr>
        <w:autoSpaceDE w:val="0"/>
        <w:autoSpaceDN w:val="0"/>
        <w:adjustRightInd w:val="0"/>
        <w:jc w:val="center"/>
        <w:rPr>
          <w:rFonts w:cs="Times New Roman"/>
          <w:sz w:val="23"/>
          <w:szCs w:val="23"/>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4C67D9">
        <w:rPr>
          <w:rFonts w:cs="Times New Roman"/>
          <w:sz w:val="23"/>
          <w:szCs w:val="23"/>
        </w:rPr>
        <w:t xml:space="preserve">, </w:t>
      </w:r>
    </w:p>
    <w:p w:rsidR="003D51D4" w:rsidRPr="003D51D4" w:rsidRDefault="004C67D9" w:rsidP="0098069D">
      <w:pPr>
        <w:autoSpaceDE w:val="0"/>
        <w:autoSpaceDN w:val="0"/>
        <w:adjustRightInd w:val="0"/>
        <w:jc w:val="center"/>
        <w:rPr>
          <w:rFonts w:cs="Times New Roman"/>
          <w:bCs/>
        </w:rPr>
      </w:pPr>
      <w:r>
        <w:rPr>
          <w:rFonts w:cs="Times New Roman"/>
          <w:sz w:val="23"/>
          <w:szCs w:val="23"/>
        </w:rPr>
        <w:t>от 17.09.2024 № 41/044од</w:t>
      </w:r>
      <w:r w:rsidR="00BE1C04">
        <w:rPr>
          <w:rFonts w:cs="Times New Roman"/>
          <w:sz w:val="23"/>
          <w:szCs w:val="23"/>
        </w:rPr>
        <w:t>, от 26.09.2024 № 45/044од</w:t>
      </w:r>
      <w:r w:rsidR="009960FA">
        <w:rPr>
          <w:rFonts w:cs="Times New Roman"/>
          <w:sz w:val="23"/>
          <w:szCs w:val="23"/>
        </w:rPr>
        <w:t>, от 18.10.2024 № 48/044од)</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xml:space="preserve">, от 27.06.2024 </w:t>
      </w:r>
      <w:r w:rsidR="00651A2C">
        <w:rPr>
          <w:rFonts w:cs="Times New Roman"/>
          <w:sz w:val="20"/>
          <w:szCs w:val="20"/>
        </w:rPr>
        <w:t xml:space="preserve">            </w:t>
      </w:r>
      <w:r w:rsidR="005A5454">
        <w:rPr>
          <w:rFonts w:cs="Times New Roman"/>
          <w:sz w:val="20"/>
          <w:szCs w:val="20"/>
        </w:rPr>
        <w:t>№ 35/044од</w:t>
      </w:r>
      <w:r w:rsidR="00651A2C">
        <w:rPr>
          <w:rFonts w:cs="Times New Roman"/>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18.10.2024 № 48/044од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w:t>
            </w:r>
            <w:r w:rsidRPr="00B704F3">
              <w:rPr>
                <w:rFonts w:cs="Times New Roman"/>
                <w:sz w:val="20"/>
                <w:szCs w:val="20"/>
              </w:rPr>
              <w:lastRenderedPageBreak/>
              <w:t>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(Поставка комплекта звукового, светового оборудования и стационарной 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3D51D4">
              <w:rPr>
                <w:rFonts w:cs="Times New Roman"/>
                <w:color w:val="000000"/>
                <w:sz w:val="20"/>
                <w:szCs w:val="20"/>
              </w:rPr>
              <w:lastRenderedPageBreak/>
              <w:t>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3D51D4">
              <w:rPr>
                <w:rFonts w:cs="Times New Roman"/>
                <w:color w:val="000000"/>
                <w:sz w:val="20"/>
                <w:szCs w:val="20"/>
              </w:rPr>
              <w:lastRenderedPageBreak/>
              <w:t>многоквартирных домов населенных пунктов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465B44" w:rsidRDefault="00257905"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465B44" w:rsidRDefault="00257905"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465B44" w:rsidRDefault="00257905"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07BD4" w:rsidRDefault="00257905"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07BD4" w:rsidRDefault="00257905"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257905" w:rsidRPr="00307BD4" w:rsidRDefault="00257905"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w:t>
            </w:r>
            <w:r w:rsidRPr="003D51D4">
              <w:rPr>
                <w:rFonts w:cs="Times New Roman"/>
                <w:sz w:val="20"/>
                <w:szCs w:val="20"/>
              </w:rPr>
              <w:lastRenderedPageBreak/>
              <w:t>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257905"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257905"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23CDE" w:rsidRDefault="00257905"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D23CDE" w:rsidRDefault="00257905"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D23CDE" w:rsidRDefault="00257905"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421BD" w:rsidRDefault="00257905"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D421BD" w:rsidRDefault="00257905"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D421BD" w:rsidRDefault="00257905"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505B55" w:rsidRDefault="0025790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505B55" w:rsidRDefault="0025790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505B55" w:rsidRDefault="0025790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505B55" w:rsidRDefault="0025790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505B55" w:rsidRDefault="0025790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505B55" w:rsidRDefault="0025790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505B55" w:rsidRDefault="00257905"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505B55" w:rsidRDefault="00257905"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Безвозмездные поступления от физических и юридических лиц на </w:t>
            </w:r>
            <w:r w:rsidRPr="003D51D4">
              <w:rPr>
                <w:rFonts w:cs="Times New Roman"/>
                <w:color w:val="000000"/>
                <w:sz w:val="20"/>
                <w:szCs w:val="20"/>
              </w:rPr>
              <w:lastRenderedPageBreak/>
              <w:t>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57905" w:rsidRPr="003D51D4" w:rsidTr="00EE0DFC">
        <w:trPr>
          <w:trHeight w:val="737"/>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6"/>
              </w:rPr>
            </w:pPr>
          </w:p>
          <w:p w:rsidR="00257905" w:rsidRPr="00D86FCA" w:rsidRDefault="00257905"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6"/>
              </w:rPr>
            </w:pPr>
          </w:p>
          <w:p w:rsidR="00257905" w:rsidRPr="003D51D4" w:rsidRDefault="00257905"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6"/>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w:t>
            </w:r>
            <w:r w:rsidRPr="003D51D4">
              <w:rPr>
                <w:rFonts w:cs="Times New Roman"/>
                <w:sz w:val="20"/>
                <w:szCs w:val="20"/>
              </w:rPr>
              <w:lastRenderedPageBreak/>
              <w:t xml:space="preserve">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w:t>
            </w:r>
            <w:r w:rsidRPr="003D51D4">
              <w:rPr>
                <w:rFonts w:cs="Times New Roman"/>
                <w:sz w:val="20"/>
                <w:szCs w:val="20"/>
              </w:rPr>
              <w:lastRenderedPageBreak/>
              <w:t>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257905" w:rsidRPr="003D51D4" w:rsidRDefault="00257905"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r w:rsidRPr="003D51D4">
              <w:rPr>
                <w:rFonts w:cs="Times New Roman"/>
                <w:sz w:val="20"/>
                <w:szCs w:val="20"/>
              </w:rPr>
              <w:lastRenderedPageBreak/>
              <w:t>коммунальных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257905"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257905"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257905" w:rsidRPr="00B46F86" w:rsidRDefault="00257905"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257905"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B46F86" w:rsidRDefault="00257905"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257905"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B46F86" w:rsidRDefault="00257905"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B46F86" w:rsidRDefault="00257905"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257905"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B46F86" w:rsidRDefault="00257905"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B46F86" w:rsidRDefault="00257905"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B46F86" w:rsidRDefault="00257905"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257905"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7008" w:rsidRDefault="00257905"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7008" w:rsidRDefault="00257905"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257905" w:rsidRPr="003D7008" w:rsidRDefault="00257905"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C67CC9" w:rsidRDefault="00257905"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C67CC9" w:rsidRDefault="00257905"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257905" w:rsidRPr="00C67CC9" w:rsidRDefault="00257905"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57905"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257905" w:rsidRPr="000A46FC" w:rsidRDefault="00257905" w:rsidP="003D51D4">
            <w:pPr>
              <w:jc w:val="center"/>
              <w:rPr>
                <w:rFonts w:cs="Times New Roman"/>
                <w:bCs/>
                <w:color w:val="000000"/>
                <w:sz w:val="14"/>
              </w:rPr>
            </w:pPr>
          </w:p>
          <w:p w:rsidR="00257905" w:rsidRPr="003D51D4" w:rsidRDefault="00257905" w:rsidP="003D51D4">
            <w:pPr>
              <w:jc w:val="center"/>
              <w:rPr>
                <w:rFonts w:cs="Times New Roman"/>
                <w:bCs/>
                <w:color w:val="000000"/>
              </w:rPr>
            </w:pPr>
            <w:r w:rsidRPr="003D51D4">
              <w:rPr>
                <w:rFonts w:cs="Times New Roman"/>
                <w:bCs/>
                <w:color w:val="000000"/>
              </w:rPr>
              <w:lastRenderedPageBreak/>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257905" w:rsidRPr="000A46FC" w:rsidRDefault="00257905" w:rsidP="003D51D4">
            <w:pPr>
              <w:jc w:val="center"/>
              <w:rPr>
                <w:rFonts w:cs="Times New Roman"/>
                <w:bCs/>
                <w:color w:val="000000"/>
                <w:sz w:val="14"/>
              </w:rPr>
            </w:pPr>
          </w:p>
        </w:tc>
      </w:tr>
      <w:tr w:rsidR="00257905"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lastRenderedPageBreak/>
              <w:t>048</w:t>
            </w:r>
          </w:p>
        </w:tc>
        <w:tc>
          <w:tcPr>
            <w:tcW w:w="4494" w:type="pct"/>
            <w:gridSpan w:val="3"/>
            <w:tcBorders>
              <w:top w:val="nil"/>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257905"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Федеральное казначейство</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0A46FC">
        <w:trPr>
          <w:trHeight w:val="567"/>
        </w:trPr>
        <w:tc>
          <w:tcPr>
            <w:tcW w:w="506" w:type="pct"/>
            <w:gridSpan w:val="2"/>
            <w:tcBorders>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Федеральная налоговая служба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w:t>
            </w:r>
            <w:r w:rsidRPr="003D51D4">
              <w:rPr>
                <w:rFonts w:cs="Times New Roman"/>
                <w:color w:val="000000"/>
                <w:sz w:val="20"/>
                <w:szCs w:val="20"/>
              </w:rPr>
              <w:lastRenderedPageBreak/>
              <w:t>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257905" w:rsidRPr="003D51D4" w:rsidRDefault="00257905" w:rsidP="003D51D4">
            <w:pPr>
              <w:rPr>
                <w:rFonts w:cs="Times New Roman"/>
                <w:color w:val="000000"/>
                <w:sz w:val="20"/>
                <w:szCs w:val="20"/>
              </w:rPr>
            </w:pP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257905"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257905"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257905"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257905"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257905"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257905" w:rsidRPr="003D51D4" w:rsidRDefault="00257905"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257905"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BE1C04" w:rsidRDefault="00257905"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BE1C04" w:rsidRDefault="00257905"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BE1C04" w:rsidRDefault="00257905"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CA7C19">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законами субъектов Российской Федерации об административных правонарушениях, за </w:t>
            </w:r>
            <w:r w:rsidRPr="003D51D4">
              <w:rPr>
                <w:rFonts w:cs="Times New Roman"/>
                <w:color w:val="000000"/>
                <w:sz w:val="20"/>
                <w:szCs w:val="20"/>
              </w:rPr>
              <w:lastRenderedPageBreak/>
              <w:t>нарушение муниципальных правовых актов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57905"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257905"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257905" w:rsidRPr="003D51D4" w:rsidRDefault="00257905"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w:t>
            </w:r>
            <w:r w:rsidRPr="003D51D4">
              <w:rPr>
                <w:rFonts w:cs="Times New Roman"/>
                <w:color w:val="000000"/>
                <w:sz w:val="20"/>
                <w:szCs w:val="20"/>
              </w:rPr>
              <w:lastRenderedPageBreak/>
              <w:t>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BC5599" w:rsidRDefault="00257905"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BC5599" w:rsidRDefault="00257905"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BC5599" w:rsidRDefault="00257905"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5A5454" w:rsidRDefault="00257905"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5A5454" w:rsidRDefault="00257905"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5A5454" w:rsidRDefault="00257905"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w:t>
            </w:r>
            <w:r w:rsidRPr="003D51D4">
              <w:rPr>
                <w:rFonts w:cs="Times New Roman"/>
                <w:color w:val="000000"/>
                <w:sz w:val="20"/>
                <w:szCs w:val="20"/>
              </w:rPr>
              <w:lastRenderedPageBreak/>
              <w:t>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57905"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57905"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BC5599" w:rsidRDefault="00257905" w:rsidP="00BC5599">
            <w:pPr>
              <w:jc w:val="center"/>
              <w:rPr>
                <w:rFonts w:cs="Times New Roman"/>
                <w:color w:val="000000"/>
                <w:sz w:val="20"/>
                <w:szCs w:val="20"/>
              </w:rPr>
            </w:pPr>
            <w:r w:rsidRPr="00BC5599">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BC5599" w:rsidRDefault="00257905"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BC5599" w:rsidRDefault="00257905"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257905"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57905"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57905"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257905" w:rsidRPr="00BC5599" w:rsidRDefault="00257905" w:rsidP="00BC5599">
            <w:pPr>
              <w:jc w:val="center"/>
              <w:rPr>
                <w:rFonts w:cs="Times New Roman"/>
                <w:bCs/>
                <w:color w:val="000000"/>
              </w:rPr>
            </w:pPr>
          </w:p>
          <w:p w:rsidR="00257905" w:rsidRPr="00BC5599" w:rsidRDefault="00257905" w:rsidP="00BC5599">
            <w:pPr>
              <w:jc w:val="center"/>
              <w:rPr>
                <w:rFonts w:cs="Times New Roman"/>
                <w:bCs/>
                <w:color w:val="000000"/>
              </w:rPr>
            </w:pPr>
            <w:r w:rsidRPr="00BC5599">
              <w:rPr>
                <w:rFonts w:cs="Times New Roman"/>
                <w:bCs/>
                <w:color w:val="000000"/>
              </w:rPr>
              <w:t>856</w:t>
            </w:r>
          </w:p>
          <w:p w:rsidR="00257905" w:rsidRPr="00BC5599" w:rsidRDefault="00257905"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257905" w:rsidRPr="00BC5599" w:rsidRDefault="00257905"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257905"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Default="00257905" w:rsidP="004F4DA0">
            <w:pPr>
              <w:jc w:val="center"/>
              <w:rPr>
                <w:rFonts w:cs="Times New Roman"/>
                <w:color w:val="000000"/>
                <w:sz w:val="20"/>
                <w:szCs w:val="20"/>
              </w:rPr>
            </w:pPr>
          </w:p>
          <w:p w:rsidR="00257905" w:rsidRDefault="00257905"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257905" w:rsidRPr="004A61D8" w:rsidRDefault="00257905"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4A61D8" w:rsidRDefault="00257905"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4A61D8" w:rsidRDefault="00257905"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EE29D2">
    <w:pPr>
      <w:pStyle w:val="a7"/>
      <w:jc w:val="center"/>
    </w:pPr>
    <w:fldSimple w:instr=" PAGE   \* MERGEFORMAT ">
      <w:r w:rsidR="00257905">
        <w:rPr>
          <w:noProof/>
        </w:rPr>
        <w:t>4</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57DB"/>
    <w:rsid w:val="000D670C"/>
    <w:rsid w:val="000F13C6"/>
    <w:rsid w:val="000F4FA3"/>
    <w:rsid w:val="00125556"/>
    <w:rsid w:val="00135D18"/>
    <w:rsid w:val="001420D0"/>
    <w:rsid w:val="001B155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960FA"/>
    <w:rsid w:val="009A19A1"/>
    <w:rsid w:val="009B4024"/>
    <w:rsid w:val="009C4F65"/>
    <w:rsid w:val="00A0712A"/>
    <w:rsid w:val="00A202D9"/>
    <w:rsid w:val="00A37D17"/>
    <w:rsid w:val="00A628C2"/>
    <w:rsid w:val="00A77BC0"/>
    <w:rsid w:val="00A8176C"/>
    <w:rsid w:val="00A97F5D"/>
    <w:rsid w:val="00AA2C4B"/>
    <w:rsid w:val="00AC4C04"/>
    <w:rsid w:val="00B02BD7"/>
    <w:rsid w:val="00B2701B"/>
    <w:rsid w:val="00B46F86"/>
    <w:rsid w:val="00B704F3"/>
    <w:rsid w:val="00B730EF"/>
    <w:rsid w:val="00B75C77"/>
    <w:rsid w:val="00B867A7"/>
    <w:rsid w:val="00BC5599"/>
    <w:rsid w:val="00BE1C04"/>
    <w:rsid w:val="00BF10C0"/>
    <w:rsid w:val="00BF54FD"/>
    <w:rsid w:val="00BF6853"/>
    <w:rsid w:val="00C15259"/>
    <w:rsid w:val="00C260AC"/>
    <w:rsid w:val="00C51C8A"/>
    <w:rsid w:val="00C67CC9"/>
    <w:rsid w:val="00D23CDE"/>
    <w:rsid w:val="00D27168"/>
    <w:rsid w:val="00D421BD"/>
    <w:rsid w:val="00D86FCA"/>
    <w:rsid w:val="00DA0872"/>
    <w:rsid w:val="00DA2427"/>
    <w:rsid w:val="00DC35E4"/>
    <w:rsid w:val="00E0588F"/>
    <w:rsid w:val="00E22BB9"/>
    <w:rsid w:val="00E54C6B"/>
    <w:rsid w:val="00E55096"/>
    <w:rsid w:val="00EB0892"/>
    <w:rsid w:val="00EC0F9E"/>
    <w:rsid w:val="00EC4D0D"/>
    <w:rsid w:val="00ED68E2"/>
    <w:rsid w:val="00EE0DFC"/>
    <w:rsid w:val="00EE29D2"/>
    <w:rsid w:val="00F17C02"/>
    <w:rsid w:val="00F22160"/>
    <w:rsid w:val="00F26B49"/>
    <w:rsid w:val="00F44320"/>
    <w:rsid w:val="00F53D6B"/>
    <w:rsid w:val="00F87E2C"/>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BFCE-FAEA-4845-BA1B-C9748536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32</Pages>
  <Words>12875</Words>
  <Characters>105376</Characters>
  <Application>Microsoft Office Word</Application>
  <DocSecurity>0</DocSecurity>
  <Lines>878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28</cp:revision>
  <cp:lastPrinted>2023-11-16T11:59:00Z</cp:lastPrinted>
  <dcterms:created xsi:type="dcterms:W3CDTF">2024-04-02T06:39:00Z</dcterms:created>
  <dcterms:modified xsi:type="dcterms:W3CDTF">2024-10-17T14:33:00Z</dcterms:modified>
</cp:coreProperties>
</file>