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51970EB2" w:rsidR="009945A3" w:rsidRDefault="007E7B06" w:rsidP="00670EFB">
      <w:pPr>
        <w:autoSpaceDE w:val="0"/>
        <w:autoSpaceDN w:val="0"/>
        <w:adjustRightInd w:val="0"/>
        <w:spacing w:line="240" w:lineRule="exact"/>
        <w:jc w:val="center"/>
      </w:pPr>
      <w:r>
        <w:t>_____________</w:t>
      </w:r>
      <w:r w:rsidR="009A25C4">
        <w:t xml:space="preserve"> </w:t>
      </w:r>
      <w:r w:rsidR="00670EFB">
        <w:t xml:space="preserve">№ </w:t>
      </w:r>
      <w:r w:rsidR="001A02AC">
        <w:t>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50CBF39E" w14:textId="44F6D8D2" w:rsidR="00DB0975" w:rsidRDefault="00DB0975" w:rsidP="00354ECD">
      <w:pPr>
        <w:autoSpaceDE w:val="0"/>
        <w:autoSpaceDN w:val="0"/>
        <w:adjustRightInd w:val="0"/>
        <w:spacing w:line="240" w:lineRule="exact"/>
        <w:jc w:val="center"/>
        <w:rPr>
          <w:rFonts w:cs="Times New Roman"/>
          <w:bCs/>
        </w:rPr>
      </w:pPr>
      <w:bookmarkStart w:id="0" w:name="_GoBack"/>
      <w:r>
        <w:rPr>
          <w:rFonts w:cs="Times New Roman"/>
          <w:bCs/>
        </w:rPr>
        <w:t>О внесении изменений в муниципальную программу городского округа Электросталь Московской области «Социальная защита населения»</w:t>
      </w:r>
      <w:bookmarkEnd w:id="0"/>
    </w:p>
    <w:p w14:paraId="3B4DD25C" w14:textId="77777777" w:rsidR="00DB0975" w:rsidRDefault="00DB0975" w:rsidP="00DB0975">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218751BB"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sidR="007E7B06">
        <w:rPr>
          <w:rFonts w:cs="Times New Roman"/>
        </w:rPr>
        <w:t>, от 05.08.2025 №1017-8</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20470F55" w14:textId="77777777"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12404B2" w14:textId="77777777" w:rsidR="00DB0975" w:rsidRDefault="00DB0975" w:rsidP="00DB0975">
      <w:pPr>
        <w:jc w:val="both"/>
        <w:rPr>
          <w:rFonts w:cs="Times New Roman"/>
          <w:sz w:val="20"/>
          <w:szCs w:val="20"/>
        </w:rPr>
      </w:pPr>
    </w:p>
    <w:p w14:paraId="3DD5122E" w14:textId="77777777" w:rsidR="00DB0975" w:rsidRDefault="00DB0975" w:rsidP="00DB0975">
      <w:pPr>
        <w:autoSpaceDE w:val="0"/>
        <w:autoSpaceDN w:val="0"/>
        <w:adjustRightInd w:val="0"/>
        <w:jc w:val="both"/>
        <w:rPr>
          <w:rFonts w:cs="Times New Roman"/>
        </w:rPr>
      </w:pPr>
    </w:p>
    <w:p w14:paraId="32274FAB" w14:textId="77777777" w:rsidR="00DB0975" w:rsidRPr="00362D6D" w:rsidRDefault="00DB0975" w:rsidP="00DB0975">
      <w:pPr>
        <w:autoSpaceDE w:val="0"/>
        <w:autoSpaceDN w:val="0"/>
        <w:adjustRightInd w:val="0"/>
        <w:jc w:val="both"/>
      </w:pPr>
    </w:p>
    <w:p w14:paraId="29282E9C" w14:textId="77777777" w:rsidR="00DB0975" w:rsidRPr="00362D6D" w:rsidRDefault="00DB0975" w:rsidP="00DB0975">
      <w:pPr>
        <w:autoSpaceDE w:val="0"/>
        <w:autoSpaceDN w:val="0"/>
        <w:adjustRightInd w:val="0"/>
        <w:jc w:val="both"/>
      </w:pPr>
    </w:p>
    <w:p w14:paraId="0590E833" w14:textId="77777777" w:rsidR="00DB0975" w:rsidRDefault="00DB0975" w:rsidP="00DB0975">
      <w:pPr>
        <w:jc w:val="both"/>
      </w:pPr>
      <w:r w:rsidRPr="00362D6D">
        <w:t xml:space="preserve">Глава </w:t>
      </w:r>
      <w:r w:rsidRPr="00D44C76">
        <w:t>городского округа                                                                                            И.Ю. Волкова</w:t>
      </w:r>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368FFCB0" w14:textId="77777777" w:rsidR="00DB0975" w:rsidRPr="00D44C76" w:rsidRDefault="00DB0975" w:rsidP="00DB0975">
      <w:pPr>
        <w:jc w:val="both"/>
      </w:pPr>
    </w:p>
    <w:p w14:paraId="24687DFE" w14:textId="4CE8CED9"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7A37753E" w:rsidR="00245826" w:rsidRPr="009114D4" w:rsidRDefault="002C2FFF" w:rsidP="00C12873">
      <w:pPr>
        <w:tabs>
          <w:tab w:val="left" w:pos="851"/>
        </w:tabs>
        <w:ind w:firstLine="10490"/>
        <w:rPr>
          <w:rFonts w:cs="Times New Roman"/>
        </w:rPr>
      </w:pPr>
      <w:r>
        <w:rPr>
          <w:rFonts w:cs="Times New Roman"/>
        </w:rPr>
        <w:t xml:space="preserve">от </w:t>
      </w:r>
      <w:r w:rsidR="007E7B06">
        <w:rPr>
          <w:rFonts w:cs="Times New Roman"/>
        </w:rPr>
        <w:t>_______________</w:t>
      </w:r>
      <w:r>
        <w:rPr>
          <w:rFonts w:cs="Times New Roman"/>
        </w:rPr>
        <w:t xml:space="preserve"> № </w:t>
      </w:r>
      <w:r w:rsidR="007E7B06">
        <w:rPr>
          <w:rFonts w:cs="Times New Roman"/>
        </w:rPr>
        <w:t>___________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73406F48" w14:textId="77777777" w:rsidR="007E7B06" w:rsidRDefault="001A02AC" w:rsidP="007E7B06">
      <w:pPr>
        <w:tabs>
          <w:tab w:val="left" w:pos="851"/>
        </w:tabs>
        <w:ind w:firstLine="10490"/>
        <w:rPr>
          <w:rFonts w:cs="Times New Roman"/>
        </w:rPr>
      </w:pPr>
      <w:r>
        <w:rPr>
          <w:rFonts w:cs="Times New Roman"/>
        </w:rPr>
        <w:t>от 05.02.2025 № 121/2</w:t>
      </w:r>
      <w:r w:rsidR="007E7B06">
        <w:rPr>
          <w:rFonts w:cs="Times New Roman"/>
        </w:rPr>
        <w:t xml:space="preserve">, </w:t>
      </w:r>
    </w:p>
    <w:p w14:paraId="75076592" w14:textId="1AC02DDE" w:rsidR="00376E30" w:rsidRDefault="007E7B06" w:rsidP="001A02AC">
      <w:pPr>
        <w:tabs>
          <w:tab w:val="left" w:pos="851"/>
        </w:tabs>
        <w:ind w:firstLine="10490"/>
        <w:rPr>
          <w:rFonts w:cs="Times New Roman"/>
        </w:rPr>
      </w:pPr>
      <w:r>
        <w:rPr>
          <w:rFonts w:cs="Times New Roman"/>
        </w:rPr>
        <w:t xml:space="preserve">от </w:t>
      </w:r>
      <w:r w:rsidRPr="007E7B06">
        <w:rPr>
          <w:rFonts w:cs="Times New Roman"/>
        </w:rPr>
        <w:t>05.08.2025 № 1017/8</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087F1B96"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w:t>
            </w:r>
            <w:r w:rsidR="007E3973">
              <w:rPr>
                <w:rFonts w:eastAsia="Calibri" w:cs="Times New Roman"/>
              </w:rPr>
              <w:t xml:space="preserve"> Электросталь </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w:t>
            </w:r>
            <w:r w:rsidRPr="00415642">
              <w:rPr>
                <w:rFonts w:ascii="Times New Roman" w:hAnsi="Times New Roman" w:cs="Times New Roman"/>
                <w:sz w:val="24"/>
                <w:szCs w:val="24"/>
              </w:rPr>
              <w:lastRenderedPageBreak/>
              <w:t>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7E7B06" w:rsidRPr="00065A4E" w14:paraId="433D13D0" w14:textId="77777777" w:rsidTr="00EC47AE">
        <w:tc>
          <w:tcPr>
            <w:tcW w:w="4882" w:type="dxa"/>
          </w:tcPr>
          <w:p w14:paraId="0015D3AF" w14:textId="77777777" w:rsidR="007E7B06" w:rsidRPr="00415642" w:rsidRDefault="007E7B06" w:rsidP="007E7B06">
            <w:pPr>
              <w:rPr>
                <w:rFonts w:cs="Times New Roman"/>
              </w:rPr>
            </w:pPr>
            <w:r w:rsidRPr="00415642">
              <w:rPr>
                <w:rFonts w:cs="Times New Roman"/>
              </w:rPr>
              <w:t>Средства бюджета городского округа Электросталь Московской области</w:t>
            </w:r>
          </w:p>
        </w:tc>
        <w:tc>
          <w:tcPr>
            <w:tcW w:w="1701" w:type="dxa"/>
            <w:vAlign w:val="center"/>
          </w:tcPr>
          <w:p w14:paraId="606688F5" w14:textId="1DAD372A"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60 749,65</w:t>
            </w:r>
          </w:p>
        </w:tc>
        <w:tc>
          <w:tcPr>
            <w:tcW w:w="1560" w:type="dxa"/>
            <w:vAlign w:val="center"/>
          </w:tcPr>
          <w:p w14:paraId="58A11B89" w14:textId="7F6918E6"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11 270,15</w:t>
            </w:r>
          </w:p>
        </w:tc>
        <w:tc>
          <w:tcPr>
            <w:tcW w:w="1558" w:type="dxa"/>
            <w:vAlign w:val="center"/>
          </w:tcPr>
          <w:p w14:paraId="37AA39E7" w14:textId="0DE6A778"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11 603,05</w:t>
            </w:r>
          </w:p>
        </w:tc>
        <w:tc>
          <w:tcPr>
            <w:tcW w:w="1701" w:type="dxa"/>
            <w:vAlign w:val="center"/>
          </w:tcPr>
          <w:p w14:paraId="187C124F" w14:textId="4E5144B2"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14 107,47</w:t>
            </w:r>
          </w:p>
        </w:tc>
        <w:tc>
          <w:tcPr>
            <w:tcW w:w="1701" w:type="dxa"/>
            <w:vAlign w:val="center"/>
          </w:tcPr>
          <w:p w14:paraId="6AD72DCC" w14:textId="0F7EF73F"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12 098,68</w:t>
            </w:r>
          </w:p>
        </w:tc>
        <w:tc>
          <w:tcPr>
            <w:tcW w:w="1985" w:type="dxa"/>
            <w:vAlign w:val="center"/>
          </w:tcPr>
          <w:p w14:paraId="5C04E7CA" w14:textId="6B0A4A25"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11 670,30</w:t>
            </w:r>
          </w:p>
        </w:tc>
      </w:tr>
      <w:tr w:rsidR="007E7B06" w:rsidRPr="00065A4E" w14:paraId="5B523065" w14:textId="77777777" w:rsidTr="00EC47AE">
        <w:tc>
          <w:tcPr>
            <w:tcW w:w="4882" w:type="dxa"/>
          </w:tcPr>
          <w:p w14:paraId="192DEDD4" w14:textId="77777777" w:rsidR="007E7B06" w:rsidRPr="00415642" w:rsidRDefault="007E7B06" w:rsidP="007E7B0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vAlign w:val="center"/>
          </w:tcPr>
          <w:p w14:paraId="12099AA3" w14:textId="09967793"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81 840,00</w:t>
            </w:r>
          </w:p>
        </w:tc>
        <w:tc>
          <w:tcPr>
            <w:tcW w:w="1560" w:type="dxa"/>
            <w:vAlign w:val="center"/>
          </w:tcPr>
          <w:p w14:paraId="157E10AC" w14:textId="038EF41D"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12 528,00</w:t>
            </w:r>
          </w:p>
        </w:tc>
        <w:tc>
          <w:tcPr>
            <w:tcW w:w="1558" w:type="dxa"/>
            <w:vAlign w:val="center"/>
          </w:tcPr>
          <w:p w14:paraId="20524577" w14:textId="59AD31A8"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14 607,00</w:t>
            </w:r>
          </w:p>
        </w:tc>
        <w:tc>
          <w:tcPr>
            <w:tcW w:w="1701" w:type="dxa"/>
            <w:vAlign w:val="center"/>
          </w:tcPr>
          <w:p w14:paraId="0F3FBBCD" w14:textId="74668886"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17 928,00</w:t>
            </w:r>
          </w:p>
        </w:tc>
        <w:tc>
          <w:tcPr>
            <w:tcW w:w="1701" w:type="dxa"/>
            <w:vAlign w:val="center"/>
          </w:tcPr>
          <w:p w14:paraId="1B146B96" w14:textId="6ACC619C"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18 322,00</w:t>
            </w:r>
          </w:p>
        </w:tc>
        <w:tc>
          <w:tcPr>
            <w:tcW w:w="1985" w:type="dxa"/>
            <w:vAlign w:val="center"/>
          </w:tcPr>
          <w:p w14:paraId="7970113C" w14:textId="78112AD8"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18 455,00</w:t>
            </w:r>
          </w:p>
        </w:tc>
      </w:tr>
      <w:tr w:rsidR="007E7B06" w:rsidRPr="00065A4E" w14:paraId="48430D7F" w14:textId="77777777" w:rsidTr="00EC47AE">
        <w:tc>
          <w:tcPr>
            <w:tcW w:w="4882" w:type="dxa"/>
          </w:tcPr>
          <w:p w14:paraId="7B17676F" w14:textId="77777777" w:rsidR="007E7B06" w:rsidRPr="00415642" w:rsidRDefault="007E7B06" w:rsidP="007E7B0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vAlign w:val="center"/>
          </w:tcPr>
          <w:p w14:paraId="4BE7F7DF" w14:textId="7CFAE4D9"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560" w:type="dxa"/>
            <w:vAlign w:val="center"/>
          </w:tcPr>
          <w:p w14:paraId="1D1D0B3E" w14:textId="32562F39"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558" w:type="dxa"/>
            <w:vAlign w:val="center"/>
          </w:tcPr>
          <w:p w14:paraId="7E450C35" w14:textId="55A72CD5"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701" w:type="dxa"/>
            <w:vAlign w:val="center"/>
          </w:tcPr>
          <w:p w14:paraId="39F2406B" w14:textId="21961906"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701" w:type="dxa"/>
            <w:vAlign w:val="center"/>
          </w:tcPr>
          <w:p w14:paraId="1D9E29C1" w14:textId="4C62BA73"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985" w:type="dxa"/>
            <w:vAlign w:val="center"/>
          </w:tcPr>
          <w:p w14:paraId="57B4A5A2" w14:textId="10117E0C"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r>
      <w:tr w:rsidR="007E7B06" w:rsidRPr="00065A4E" w14:paraId="385CF810" w14:textId="77777777" w:rsidTr="00EC47AE">
        <w:tc>
          <w:tcPr>
            <w:tcW w:w="4882" w:type="dxa"/>
          </w:tcPr>
          <w:p w14:paraId="4F698C37" w14:textId="77777777" w:rsidR="007E7B06" w:rsidRPr="00415642" w:rsidRDefault="007E7B06" w:rsidP="007E7B0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vAlign w:val="center"/>
          </w:tcPr>
          <w:p w14:paraId="1F34F3F9" w14:textId="200A2B8C"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560" w:type="dxa"/>
            <w:vAlign w:val="center"/>
          </w:tcPr>
          <w:p w14:paraId="4D8050B4" w14:textId="39D57503"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558" w:type="dxa"/>
            <w:vAlign w:val="center"/>
          </w:tcPr>
          <w:p w14:paraId="4EA4DA8A" w14:textId="31AEC780"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701" w:type="dxa"/>
            <w:vAlign w:val="center"/>
          </w:tcPr>
          <w:p w14:paraId="2560AF1C" w14:textId="36B6B475"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701" w:type="dxa"/>
            <w:vAlign w:val="center"/>
          </w:tcPr>
          <w:p w14:paraId="092A89E3" w14:textId="1A1E45A1"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c>
          <w:tcPr>
            <w:tcW w:w="1985" w:type="dxa"/>
            <w:vAlign w:val="center"/>
          </w:tcPr>
          <w:p w14:paraId="3FF86C3B" w14:textId="460998D9"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0,00</w:t>
            </w:r>
          </w:p>
        </w:tc>
      </w:tr>
      <w:tr w:rsidR="007E7B06" w:rsidRPr="00065A4E" w14:paraId="74465055" w14:textId="77777777" w:rsidTr="00EC47AE">
        <w:tc>
          <w:tcPr>
            <w:tcW w:w="4882" w:type="dxa"/>
          </w:tcPr>
          <w:p w14:paraId="61A5557A" w14:textId="77777777" w:rsidR="007E7B06" w:rsidRPr="00415642" w:rsidRDefault="007E7B06" w:rsidP="007E7B0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vAlign w:val="center"/>
          </w:tcPr>
          <w:p w14:paraId="1ECD1718" w14:textId="32B4C661"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142 589,65</w:t>
            </w:r>
          </w:p>
        </w:tc>
        <w:tc>
          <w:tcPr>
            <w:tcW w:w="1560" w:type="dxa"/>
            <w:vAlign w:val="center"/>
          </w:tcPr>
          <w:p w14:paraId="3CFBAB2B" w14:textId="0425C5B3"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23 798,15</w:t>
            </w:r>
          </w:p>
        </w:tc>
        <w:tc>
          <w:tcPr>
            <w:tcW w:w="1558" w:type="dxa"/>
            <w:vAlign w:val="center"/>
          </w:tcPr>
          <w:p w14:paraId="1DE253FC" w14:textId="77F6A4D2"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26 210,05</w:t>
            </w:r>
          </w:p>
        </w:tc>
        <w:tc>
          <w:tcPr>
            <w:tcW w:w="1701" w:type="dxa"/>
            <w:vAlign w:val="center"/>
          </w:tcPr>
          <w:p w14:paraId="0EBCA957" w14:textId="38A10636"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32 035,47</w:t>
            </w:r>
          </w:p>
        </w:tc>
        <w:tc>
          <w:tcPr>
            <w:tcW w:w="1701" w:type="dxa"/>
            <w:vAlign w:val="center"/>
          </w:tcPr>
          <w:p w14:paraId="76B92A52" w14:textId="5C1CE28D"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30 420,68</w:t>
            </w:r>
          </w:p>
        </w:tc>
        <w:tc>
          <w:tcPr>
            <w:tcW w:w="1985" w:type="dxa"/>
            <w:vAlign w:val="center"/>
          </w:tcPr>
          <w:p w14:paraId="38998313" w14:textId="4561B649" w:rsidR="007E7B06" w:rsidRPr="007E7B06" w:rsidRDefault="007E7B06" w:rsidP="007E7B06">
            <w:pPr>
              <w:pStyle w:val="ConsPlusNormal"/>
              <w:jc w:val="center"/>
              <w:rPr>
                <w:rFonts w:ascii="Times New Roman" w:hAnsi="Times New Roman" w:cs="Times New Roman"/>
                <w:sz w:val="24"/>
                <w:szCs w:val="22"/>
              </w:rPr>
            </w:pPr>
            <w:r w:rsidRPr="007E7B06">
              <w:rPr>
                <w:rFonts w:ascii="Times New Roman" w:hAnsi="Times New Roman" w:cs="Times New Roman"/>
                <w:sz w:val="24"/>
                <w:szCs w:val="22"/>
              </w:rPr>
              <w:t>30 125,30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 xml:space="preserve">базируется на принципах добровольности, </w:t>
      </w:r>
      <w:r w:rsidRPr="00D15718">
        <w:rPr>
          <w:rFonts w:ascii="Times New Roman" w:hAnsi="Times New Roman" w:cs="Times New Roman"/>
          <w:sz w:val="24"/>
          <w:szCs w:val="24"/>
        </w:rPr>
        <w:lastRenderedPageBreak/>
        <w:t>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 xml:space="preserve">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w:t>
      </w:r>
      <w:r w:rsidRPr="00D15718">
        <w:rPr>
          <w:rFonts w:ascii="Times New Roman" w:hAnsi="Times New Roman" w:cs="Times New Roman"/>
          <w:sz w:val="24"/>
          <w:szCs w:val="24"/>
        </w:rPr>
        <w:lastRenderedPageBreak/>
        <w:t>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w:t>
      </w:r>
      <w:r w:rsidRPr="00D15718">
        <w:rPr>
          <w:rFonts w:ascii="Times New Roman" w:hAnsi="Times New Roman" w:cs="Times New Roman"/>
          <w:sz w:val="24"/>
          <w:szCs w:val="24"/>
        </w:rPr>
        <w:lastRenderedPageBreak/>
        <w:t>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14:paraId="22B375DF" w14:textId="77777777" w:rsidTr="0056387E">
        <w:trPr>
          <w:trHeight w:val="297"/>
        </w:trPr>
        <w:tc>
          <w:tcPr>
            <w:tcW w:w="506" w:type="dxa"/>
            <w:vMerge w:val="restart"/>
          </w:tcPr>
          <w:p w14:paraId="24E5D7DC"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4C32F958"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53229A0C" w14:textId="464EEF3C"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5A947763" w14:textId="094FC1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18B9C8A6" w14:textId="656B3FF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0CB509AE" w14:textId="13E31479"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1840FD3A" w14:textId="3B03A16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61B7EE8" w14:textId="2801148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14:paraId="67E04B3E"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7B055946" w14:textId="77777777" w:rsidTr="0056387E">
        <w:trPr>
          <w:trHeight w:val="297"/>
        </w:trPr>
        <w:tc>
          <w:tcPr>
            <w:tcW w:w="506" w:type="dxa"/>
            <w:vMerge/>
          </w:tcPr>
          <w:p w14:paraId="59BDB883" w14:textId="77777777" w:rsidR="00582501" w:rsidRPr="00C4198A" w:rsidRDefault="00582501" w:rsidP="00B16A16">
            <w:pPr>
              <w:rPr>
                <w:rFonts w:cs="Times New Roman"/>
                <w:sz w:val="18"/>
                <w:szCs w:val="18"/>
              </w:rPr>
            </w:pPr>
          </w:p>
        </w:tc>
        <w:tc>
          <w:tcPr>
            <w:tcW w:w="2420" w:type="dxa"/>
            <w:vMerge/>
          </w:tcPr>
          <w:p w14:paraId="5E5C64E3" w14:textId="77777777" w:rsidR="00582501" w:rsidRPr="00C4198A" w:rsidRDefault="00582501" w:rsidP="00B16A16">
            <w:pPr>
              <w:rPr>
                <w:rFonts w:cs="Times New Roman"/>
                <w:sz w:val="18"/>
                <w:szCs w:val="18"/>
              </w:rPr>
            </w:pPr>
          </w:p>
        </w:tc>
        <w:tc>
          <w:tcPr>
            <w:tcW w:w="1144" w:type="dxa"/>
            <w:vMerge/>
          </w:tcPr>
          <w:p w14:paraId="19973681" w14:textId="77777777" w:rsidR="00582501" w:rsidRPr="00C4198A" w:rsidRDefault="00582501" w:rsidP="00B16A16">
            <w:pPr>
              <w:jc w:val="center"/>
              <w:rPr>
                <w:rFonts w:cs="Times New Roman"/>
                <w:sz w:val="18"/>
                <w:szCs w:val="18"/>
              </w:rPr>
            </w:pPr>
          </w:p>
        </w:tc>
        <w:tc>
          <w:tcPr>
            <w:tcW w:w="1783" w:type="dxa"/>
          </w:tcPr>
          <w:p w14:paraId="5912A4C4" w14:textId="77777777"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5291696D"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3B47CBFE" w14:textId="59D7233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573A4D0B" w14:textId="28C539A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4C69B27A" w14:textId="208DE87B"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DF0DF0B" w14:textId="1B5338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2C4B3393" w14:textId="7B82466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5C065C07" w14:textId="77777777" w:rsidR="00582501" w:rsidRPr="001521AD" w:rsidRDefault="00582501" w:rsidP="00B16A16">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492FB5A1" w14:textId="50C0CE95"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15BDDD88" w14:textId="4DC08EC1"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FAB69C6" w14:textId="654554C1"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2FE870C4" w14:textId="7752502F"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33AD830" w14:textId="4C94A6B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1E62FA30" w14:textId="684233D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14:paraId="15E0491C" w14:textId="1D49ECBA"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14:paraId="7436E124" w14:textId="53A7A32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14:paraId="586179C8" w14:textId="02456C6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3A9FDA07"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4519CAE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14:paraId="4C0E33E1" w14:textId="620152F7"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14:paraId="237B90E5" w14:textId="0E7AC5E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14:paraId="57E9211E" w14:textId="2F5815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1C73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14:paraId="5FA8AA47" w14:textId="22DB325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14:paraId="7D999999" w14:textId="0C44E569"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14:paraId="64994ED7" w14:textId="07F9FD8B"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14:paraId="68728145" w14:textId="2AB7169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20D637DD" w14:textId="6A16B1B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lastRenderedPageBreak/>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физической </w:t>
            </w:r>
            <w:r w:rsidRPr="00C4198A">
              <w:rPr>
                <w:rFonts w:ascii="Times New Roman" w:hAnsi="Times New Roman" w:cs="Times New Roman"/>
                <w:sz w:val="18"/>
                <w:szCs w:val="18"/>
              </w:rPr>
              <w:lastRenderedPageBreak/>
              <w:t>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582501" w:rsidRPr="00C4198A" w14:paraId="244E171A" w14:textId="77777777" w:rsidTr="0056387E">
        <w:trPr>
          <w:trHeight w:val="269"/>
        </w:trPr>
        <w:tc>
          <w:tcPr>
            <w:tcW w:w="506" w:type="dxa"/>
            <w:vMerge w:val="restart"/>
            <w:tcBorders>
              <w:bottom w:val="single" w:sz="4" w:space="0" w:color="auto"/>
            </w:tcBorders>
          </w:tcPr>
          <w:p w14:paraId="5094D35A" w14:textId="77777777" w:rsidR="00582501" w:rsidRPr="00C4198A" w:rsidRDefault="00582501" w:rsidP="00B16A16">
            <w:pPr>
              <w:rPr>
                <w:rFonts w:cs="Times New Roman"/>
                <w:sz w:val="18"/>
                <w:szCs w:val="18"/>
              </w:rPr>
            </w:pPr>
          </w:p>
        </w:tc>
        <w:tc>
          <w:tcPr>
            <w:tcW w:w="2420" w:type="dxa"/>
            <w:vMerge w:val="restart"/>
            <w:tcBorders>
              <w:bottom w:val="single" w:sz="4" w:space="0" w:color="auto"/>
            </w:tcBorders>
          </w:tcPr>
          <w:p w14:paraId="787D1462" w14:textId="12486D81"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14:paraId="4F825C40" w14:textId="62820B45" w:rsidR="00582501" w:rsidRPr="00FD487F" w:rsidRDefault="002F7C4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Borders>
              <w:bottom w:val="single" w:sz="4" w:space="0" w:color="auto"/>
            </w:tcBorders>
          </w:tcPr>
          <w:p w14:paraId="288AA511" w14:textId="63F23D52"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14:paraId="004F8666" w14:textId="5AE18EE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14:paraId="69EB4BEC" w14:textId="00EC912C" w:rsidR="00582501" w:rsidRPr="00FD487F" w:rsidRDefault="002F7C4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914" w:type="dxa"/>
            <w:tcBorders>
              <w:bottom w:val="single" w:sz="4" w:space="0" w:color="auto"/>
            </w:tcBorders>
          </w:tcPr>
          <w:p w14:paraId="02CC9945" w14:textId="0592E8C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14:paraId="36FC896E" w14:textId="4EEE998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14:paraId="11311DB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14:paraId="53C9E318" w14:textId="77777777" w:rsidTr="0056387E">
        <w:trPr>
          <w:trHeight w:val="372"/>
        </w:trPr>
        <w:tc>
          <w:tcPr>
            <w:tcW w:w="506" w:type="dxa"/>
            <w:vMerge/>
          </w:tcPr>
          <w:p w14:paraId="62D91291" w14:textId="77777777" w:rsidR="00582501" w:rsidRPr="00C4198A" w:rsidRDefault="00582501" w:rsidP="00DB114A">
            <w:pPr>
              <w:rPr>
                <w:rFonts w:cs="Times New Roman"/>
                <w:sz w:val="18"/>
                <w:szCs w:val="18"/>
              </w:rPr>
            </w:pPr>
          </w:p>
        </w:tc>
        <w:tc>
          <w:tcPr>
            <w:tcW w:w="2420" w:type="dxa"/>
            <w:vMerge/>
          </w:tcPr>
          <w:p w14:paraId="3CAA2183" w14:textId="77777777" w:rsidR="00582501" w:rsidRPr="00C4198A" w:rsidRDefault="00582501" w:rsidP="00DB114A">
            <w:pPr>
              <w:rPr>
                <w:rFonts w:cs="Times New Roman"/>
                <w:sz w:val="18"/>
                <w:szCs w:val="18"/>
              </w:rPr>
            </w:pPr>
          </w:p>
        </w:tc>
        <w:tc>
          <w:tcPr>
            <w:tcW w:w="1144" w:type="dxa"/>
            <w:vMerge/>
          </w:tcPr>
          <w:p w14:paraId="65D47A73" w14:textId="77777777" w:rsidR="00582501" w:rsidRPr="00C4198A" w:rsidRDefault="00582501" w:rsidP="00DB114A">
            <w:pPr>
              <w:jc w:val="center"/>
              <w:rPr>
                <w:rFonts w:cs="Times New Roman"/>
                <w:sz w:val="18"/>
                <w:szCs w:val="18"/>
              </w:rPr>
            </w:pPr>
          </w:p>
        </w:tc>
        <w:tc>
          <w:tcPr>
            <w:tcW w:w="1783" w:type="dxa"/>
          </w:tcPr>
          <w:p w14:paraId="236A8225" w14:textId="7777777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72C4CB26" w:rsidR="00582501" w:rsidRPr="00FD487F" w:rsidRDefault="002F7C4B"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43 671,09</w:t>
            </w:r>
          </w:p>
        </w:tc>
        <w:tc>
          <w:tcPr>
            <w:tcW w:w="920" w:type="dxa"/>
          </w:tcPr>
          <w:p w14:paraId="480F7C4A" w14:textId="6C38476F"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AEC6B41" w14:textId="2D71BE5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14:paraId="151FFB3A" w14:textId="4B2E6987" w:rsidR="00582501" w:rsidRPr="00FD487F" w:rsidRDefault="002F7C4B"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914" w:type="dxa"/>
          </w:tcPr>
          <w:p w14:paraId="06F59978" w14:textId="32B730C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52F3D5B" w14:textId="287DFD7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00518E39" w14:textId="77777777" w:rsidR="00582501" w:rsidRPr="003A7E2A" w:rsidRDefault="00582501" w:rsidP="00DB114A">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lastRenderedPageBreak/>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45A8DFED"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5 </w:t>
            </w:r>
            <w:r w:rsidR="0073146E">
              <w:rPr>
                <w:rFonts w:ascii="Times New Roman" w:hAnsi="Times New Roman" w:cs="Times New Roman"/>
                <w:sz w:val="18"/>
                <w:szCs w:val="18"/>
              </w:rPr>
              <w:t>2893,01</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5892C4A9" w:rsidR="00582501" w:rsidRPr="0010350D" w:rsidRDefault="0073146E"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09921C" w14:textId="77777777" w:rsidTr="0056387E">
        <w:trPr>
          <w:trHeight w:val="297"/>
        </w:trPr>
        <w:tc>
          <w:tcPr>
            <w:tcW w:w="506" w:type="dxa"/>
            <w:vMerge w:val="restart"/>
          </w:tcPr>
          <w:p w14:paraId="38B78D2D" w14:textId="77777777" w:rsidR="00582501" w:rsidRPr="00C4198A" w:rsidRDefault="00582501" w:rsidP="00DB114A">
            <w:pPr>
              <w:rPr>
                <w:rFonts w:cs="Times New Roman"/>
                <w:sz w:val="18"/>
                <w:szCs w:val="18"/>
              </w:rPr>
            </w:pPr>
          </w:p>
        </w:tc>
        <w:tc>
          <w:tcPr>
            <w:tcW w:w="2420" w:type="dxa"/>
            <w:vMerge w:val="restart"/>
          </w:tcPr>
          <w:p w14:paraId="74AFCC2A" w14:textId="15959FA0"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49844674" w14:textId="0FC7879B"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46A3B3D3" w14:textId="130E5F21"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532D7828" w14:textId="79F2A23C"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1136730E" w14:textId="774D6509"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70E8ABE9" w14:textId="19A30B93"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D954F2F" w14:textId="6C52394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14:paraId="740B8C12" w14:textId="4BF7E99E"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5E815AA5" w14:textId="77777777" w:rsidTr="0056387E">
        <w:trPr>
          <w:trHeight w:val="939"/>
        </w:trPr>
        <w:tc>
          <w:tcPr>
            <w:tcW w:w="506" w:type="dxa"/>
            <w:vMerge/>
          </w:tcPr>
          <w:p w14:paraId="1EA394EC" w14:textId="77777777" w:rsidR="00582501" w:rsidRPr="00C4198A" w:rsidRDefault="00582501" w:rsidP="00DB114A">
            <w:pPr>
              <w:rPr>
                <w:rFonts w:cs="Times New Roman"/>
                <w:sz w:val="18"/>
                <w:szCs w:val="18"/>
              </w:rPr>
            </w:pPr>
          </w:p>
        </w:tc>
        <w:tc>
          <w:tcPr>
            <w:tcW w:w="2420" w:type="dxa"/>
            <w:vMerge/>
          </w:tcPr>
          <w:p w14:paraId="0494D238" w14:textId="77777777" w:rsidR="00582501" w:rsidRPr="00C4198A" w:rsidRDefault="00582501" w:rsidP="00DB114A">
            <w:pPr>
              <w:rPr>
                <w:rFonts w:cs="Times New Roman"/>
                <w:sz w:val="18"/>
                <w:szCs w:val="18"/>
              </w:rPr>
            </w:pPr>
          </w:p>
        </w:tc>
        <w:tc>
          <w:tcPr>
            <w:tcW w:w="1144" w:type="dxa"/>
            <w:vMerge/>
          </w:tcPr>
          <w:p w14:paraId="5C514F76" w14:textId="77777777" w:rsidR="00582501" w:rsidRPr="00C4198A" w:rsidRDefault="00582501" w:rsidP="00DB114A">
            <w:pPr>
              <w:jc w:val="center"/>
              <w:rPr>
                <w:rFonts w:cs="Times New Roman"/>
                <w:sz w:val="18"/>
                <w:szCs w:val="18"/>
              </w:rPr>
            </w:pPr>
          </w:p>
        </w:tc>
        <w:tc>
          <w:tcPr>
            <w:tcW w:w="1783" w:type="dxa"/>
          </w:tcPr>
          <w:p w14:paraId="366246A6" w14:textId="6BC387A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595D5DB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733D0D8B" w14:textId="15B396E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27D860F5" w14:textId="68C37F7B"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083D7307" w14:textId="160C29A7"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38728BD1" w14:textId="54D02F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218D3AD" w14:textId="7CC0E26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14:paraId="4D7D6465"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0BA7EECA"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107FB6D9"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414F7793" w14:textId="2D6A550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4A05D113" w14:textId="0D3D640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631C94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3A377254"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6644D30C" w14:textId="3C86B66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6BAD8691" w14:textId="128A0A9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066F30">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194F3D">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A86E92">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A86E92">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A86E92">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4F637C">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4F637C">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4F637C">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B30038">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B30038">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B30038">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B85B62">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B85B62">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E205A3">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lastRenderedPageBreak/>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E205A3">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8A320E">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8A320E">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161D16">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28B4A4B" w:rsidR="00C12873" w:rsidRPr="00EB2BD8" w:rsidRDefault="00802A31" w:rsidP="00802A31">
      <w:pPr>
        <w:ind w:left="14160"/>
        <w:jc w:val="both"/>
        <w:rPr>
          <w:color w:val="000000"/>
        </w:rPr>
      </w:pPr>
      <w:r>
        <w:rPr>
          <w:color w:val="000000"/>
        </w:rPr>
        <w:t>».</w:t>
      </w:r>
      <w:r>
        <w:rPr>
          <w:color w:val="000000"/>
        </w:rPr>
        <w:tab/>
      </w:r>
      <w:r w:rsidR="003F2791">
        <w:rPr>
          <w:color w:val="000000"/>
        </w:rPr>
        <w:tab/>
      </w:r>
    </w:p>
    <w:p w14:paraId="42DADFF4" w14:textId="77777777" w:rsidR="00802A31" w:rsidRDefault="00802A31" w:rsidP="00C12873">
      <w:pPr>
        <w:jc w:val="both"/>
        <w:rPr>
          <w:rFonts w:cs="Times New Roman"/>
        </w:rPr>
      </w:pPr>
    </w:p>
    <w:p w14:paraId="65AC2B05" w14:textId="1A543D84" w:rsidR="00EB2BD8" w:rsidRPr="00EB2BD8" w:rsidRDefault="00EB2BD8"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D130F" w14:textId="77777777" w:rsidR="00FD42A0" w:rsidRDefault="00FD42A0" w:rsidP="000731B1">
      <w:r>
        <w:separator/>
      </w:r>
    </w:p>
  </w:endnote>
  <w:endnote w:type="continuationSeparator" w:id="0">
    <w:p w14:paraId="44D3C009" w14:textId="77777777" w:rsidR="00FD42A0" w:rsidRDefault="00FD42A0"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71CEB" w14:textId="77777777" w:rsidR="00FD42A0" w:rsidRDefault="00FD42A0" w:rsidP="000731B1">
      <w:r>
        <w:separator/>
      </w:r>
    </w:p>
  </w:footnote>
  <w:footnote w:type="continuationSeparator" w:id="0">
    <w:p w14:paraId="10B357AB" w14:textId="77777777" w:rsidR="00FD42A0" w:rsidRDefault="00FD42A0"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59351D" w:rsidRDefault="0059351D">
        <w:pPr>
          <w:pStyle w:val="a4"/>
          <w:jc w:val="center"/>
        </w:pPr>
        <w:r>
          <w:fldChar w:fldCharType="begin"/>
        </w:r>
        <w:r>
          <w:instrText>PAGE   \* MERGEFORMAT</w:instrText>
        </w:r>
        <w:r>
          <w:fldChar w:fldCharType="separate"/>
        </w:r>
        <w:r w:rsidR="00354ECD">
          <w:rPr>
            <w:noProof/>
          </w:rPr>
          <w:t>2</w:t>
        </w:r>
        <w:r>
          <w:rPr>
            <w:noProof/>
          </w:rPr>
          <w:fldChar w:fldCharType="end"/>
        </w:r>
      </w:p>
    </w:sdtContent>
  </w:sdt>
  <w:p w14:paraId="75F301AA" w14:textId="77777777"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59351D" w:rsidRDefault="0059351D">
        <w:pPr>
          <w:pStyle w:val="a4"/>
          <w:jc w:val="center"/>
        </w:pPr>
        <w:r>
          <w:fldChar w:fldCharType="begin"/>
        </w:r>
        <w:r>
          <w:instrText>PAGE   \* MERGEFORMAT</w:instrText>
        </w:r>
        <w:r>
          <w:fldChar w:fldCharType="separate"/>
        </w:r>
        <w:r w:rsidR="00354ECD">
          <w:rPr>
            <w:noProof/>
          </w:rPr>
          <w:t>32</w:t>
        </w:r>
        <w:r>
          <w:rPr>
            <w:noProof/>
          </w:rPr>
          <w:fldChar w:fldCharType="end"/>
        </w:r>
      </w:p>
    </w:sdtContent>
  </w:sdt>
  <w:p w14:paraId="6558DB42" w14:textId="77777777"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45F4"/>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57850"/>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2F7C4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4ECD"/>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46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3973"/>
    <w:rsid w:val="007E498D"/>
    <w:rsid w:val="007E68E4"/>
    <w:rsid w:val="007E706A"/>
    <w:rsid w:val="007E72FA"/>
    <w:rsid w:val="007E7B06"/>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35FEF"/>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381E"/>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2A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7D22-9CE3-4B4D-9FEA-99184E01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7687</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3</cp:revision>
  <cp:lastPrinted>2025-07-28T06:46:00Z</cp:lastPrinted>
  <dcterms:created xsi:type="dcterms:W3CDTF">2025-08-13T07:06:00Z</dcterms:created>
  <dcterms:modified xsi:type="dcterms:W3CDTF">2025-08-13T08:55:00Z</dcterms:modified>
</cp:coreProperties>
</file>