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В Московской области проведение государственной кадастровой оценки земельных участков и объектов капитального строительства (далее – государственная кадастровая оценка объектов недвижимости) осуществляет ГБУ</w:t>
      </w:r>
      <w:r w:rsidR="0025329D" w:rsidRPr="0025329D">
        <w:rPr>
          <w:sz w:val="24"/>
          <w:szCs w:val="24"/>
        </w:rPr>
        <w:t xml:space="preserve"> МО «Центр кадастровой оценки».</w:t>
      </w:r>
    </w:p>
    <w:p w:rsidR="004B7CCC" w:rsidRPr="0025329D" w:rsidRDefault="004B7CCC" w:rsidP="004B7CCC">
      <w:pPr>
        <w:ind w:firstLine="709"/>
        <w:jc w:val="both"/>
        <w:rPr>
          <w:strike/>
          <w:sz w:val="24"/>
          <w:szCs w:val="24"/>
        </w:rPr>
      </w:pPr>
      <w:r w:rsidRPr="0025329D">
        <w:rPr>
          <w:sz w:val="24"/>
          <w:szCs w:val="24"/>
        </w:rPr>
        <w:t>В настоящее время в соответствии с ра</w:t>
      </w:r>
      <w:r w:rsidR="0025329D" w:rsidRPr="0025329D">
        <w:rPr>
          <w:sz w:val="24"/>
          <w:szCs w:val="24"/>
        </w:rPr>
        <w:t xml:space="preserve">споряжением Минмособлимущества </w:t>
      </w:r>
      <w:r w:rsidRPr="0025329D">
        <w:rPr>
          <w:sz w:val="24"/>
          <w:szCs w:val="24"/>
        </w:rPr>
        <w:t>от 09.06.2021 № 15ВР-961 осуществляется подго</w:t>
      </w:r>
      <w:r w:rsidR="0025329D" w:rsidRPr="0025329D">
        <w:rPr>
          <w:sz w:val="24"/>
          <w:szCs w:val="24"/>
        </w:rPr>
        <w:t xml:space="preserve">товка к проведению в 2023 году </w:t>
      </w:r>
      <w:r w:rsidRPr="0025329D">
        <w:rPr>
          <w:sz w:val="24"/>
          <w:szCs w:val="24"/>
        </w:rPr>
        <w:t>на территории Московской области государственной кадастровой оценки объектов капитального строительства.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Перечень объектов недвижимости, подлежащих государственной кадастровой оценке, формируется Федеральной службой государственной регистрации, кадастра и картографии (далее – Росреестр) на основании решения о проведении государственной кадастровой оценки.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Результаты определения кадастровой стоимости земельных участков в рамках проведения государственной кадастровой оценки на территории Московской области в 2022 году утверждены распоряжением Минмособлимуще</w:t>
      </w:r>
      <w:r w:rsidR="0025329D" w:rsidRPr="0025329D">
        <w:rPr>
          <w:sz w:val="24"/>
          <w:szCs w:val="24"/>
        </w:rPr>
        <w:t>ства от 28.11.2022 № 15ВР-2452.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На основании результатов проведенной по состоянию на 1 января 2022 года государственной кадастровой оценки земельных участков распоряжением Минмособлимущества от 28.11.2022 № 15ВР-2453 утверждены средние удельные показатели кадастровой</w:t>
      </w:r>
      <w:r w:rsidR="0025329D" w:rsidRPr="0025329D">
        <w:rPr>
          <w:sz w:val="24"/>
          <w:szCs w:val="24"/>
        </w:rPr>
        <w:t xml:space="preserve"> стоимости земельных участков.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С результатами кадастровой стоимости земельных участков можно оз</w:t>
      </w:r>
      <w:r w:rsidR="0025329D" w:rsidRPr="0025329D">
        <w:rPr>
          <w:sz w:val="24"/>
          <w:szCs w:val="24"/>
        </w:rPr>
        <w:t>накомиться: на сайте Росреестра</w:t>
      </w:r>
      <w:r w:rsidRPr="0025329D">
        <w:rPr>
          <w:sz w:val="24"/>
          <w:szCs w:val="24"/>
        </w:rPr>
        <w:t xml:space="preserve"> </w:t>
      </w:r>
      <w:hyperlink r:id="rId7" w:history="1">
        <w:r w:rsidR="0025329D" w:rsidRPr="0025329D">
          <w:rPr>
            <w:rStyle w:val="a3"/>
            <w:sz w:val="24"/>
            <w:szCs w:val="24"/>
          </w:rPr>
          <w:t>https://rosreestr.gov.ru/activity/kadastrovaya-otsenka/fond-dannykh-gosudarstvennoy-kadastrovoy-otsenki/poluchit-svedeniya-kadastrovoy-otsenki/</w:t>
        </w:r>
      </w:hyperlink>
      <w:r w:rsidR="0025329D" w:rsidRPr="0025329D">
        <w:rPr>
          <w:sz w:val="24"/>
          <w:szCs w:val="24"/>
        </w:rPr>
        <w:t xml:space="preserve"> </w:t>
      </w:r>
      <w:r w:rsidRPr="0025329D">
        <w:rPr>
          <w:sz w:val="24"/>
          <w:szCs w:val="24"/>
        </w:rPr>
        <w:t xml:space="preserve">, на сайте ГБУ МО «Центр кадастровой оценки» </w:t>
      </w:r>
      <w:hyperlink r:id="rId8" w:history="1">
        <w:r w:rsidR="0025329D" w:rsidRPr="0025329D">
          <w:rPr>
            <w:rStyle w:val="a3"/>
            <w:sz w:val="24"/>
            <w:szCs w:val="24"/>
          </w:rPr>
          <w:t>https://ckomo.ru/01.01.06.06/356</w:t>
        </w:r>
      </w:hyperlink>
      <w:r w:rsidR="0025329D" w:rsidRPr="0025329D">
        <w:rPr>
          <w:sz w:val="24"/>
          <w:szCs w:val="24"/>
        </w:rPr>
        <w:t xml:space="preserve"> </w:t>
      </w:r>
      <w:r w:rsidRPr="0025329D">
        <w:rPr>
          <w:sz w:val="24"/>
          <w:szCs w:val="24"/>
        </w:rPr>
        <w:t>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Новая кадастровая стоимость земельных участков будет применен</w:t>
      </w:r>
      <w:r w:rsidR="0025329D" w:rsidRPr="0025329D">
        <w:rPr>
          <w:sz w:val="24"/>
          <w:szCs w:val="24"/>
        </w:rPr>
        <w:t xml:space="preserve">а </w:t>
      </w:r>
      <w:r w:rsidRPr="0025329D">
        <w:rPr>
          <w:sz w:val="24"/>
          <w:szCs w:val="24"/>
        </w:rPr>
        <w:t>для начисления налога с 1 января 2023 года. Расчет земельного налога за 2023 налоговый период будет проводиться в 2024 году.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В случае, если кадастровая стоимость з</w:t>
      </w:r>
      <w:r w:rsidR="0025329D" w:rsidRPr="0025329D">
        <w:rPr>
          <w:sz w:val="24"/>
          <w:szCs w:val="24"/>
        </w:rPr>
        <w:t xml:space="preserve">емельных участков по состоянию </w:t>
      </w:r>
      <w:r w:rsidRPr="0025329D">
        <w:rPr>
          <w:sz w:val="24"/>
          <w:szCs w:val="24"/>
        </w:rPr>
        <w:t xml:space="preserve">на 1 января 2023 года превысит его кадастровую стоимость по состоянию на 1 января 2022 года, то для расчета земельного налога будет принята кадастровая стоимость по состоянию на 1 января 2022 года, за исключением случаев увеличения кадастровой стоимости из-за изменения характеристик земельного участка (категории земель, разрешенного </w:t>
      </w:r>
      <w:r w:rsidR="0025329D" w:rsidRPr="0025329D">
        <w:rPr>
          <w:sz w:val="24"/>
          <w:szCs w:val="24"/>
        </w:rPr>
        <w:t>использования, площади и т.п.).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Представители УФНС России по МО отметили, что в отношении граждан, нуждающихся в социальной поддержке от государства, федеральным законодательством предусмотрен налоговый вычет в виде уменьшения налоговой базы на величину кадастровой стоимости 6 соток (пенсионеры, лица предпенсионного возраста, многодетные родители). Налоговый вычет представля</w:t>
      </w:r>
      <w:r w:rsidR="0025329D" w:rsidRPr="0025329D">
        <w:rPr>
          <w:sz w:val="24"/>
          <w:szCs w:val="24"/>
        </w:rPr>
        <w:t>ется в беззаявительном порядке.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В Московской области в 2022 году проведена государственная кадастровая оценка 4,1 млн. земельных участков.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Федеральным законом от 3 июля 2016 года № 237-ФЗ «О государственной кадастровой оценке» (далее – Федеральный закон № 237-ФЗ) предусмотрена процедура ознакомления физических или юридических лиц с проектом отчета об итогах государственной кадастровой оценки объектов недвижимости с возможностью подачи замечаний на проект отчета.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В целях получения сведений о характеристиках объекта недвижимости, использованных при определении кадастровой стоимости, а также о порядке определения кадастровой стоимости, в ГБУ МО «Центр кадастровой оценки» можно подать обращение о предоставлении разъяснений, связанных с определением кадастровой стоимости объекта недвижимости (далее – обращение).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 xml:space="preserve">В целях исправления кадастровой стоимости объекта недвижимости в случае выявления ошибок, допущенных при определении кадастровой стоимости, можно подать </w:t>
      </w:r>
      <w:r w:rsidRPr="0025329D">
        <w:rPr>
          <w:sz w:val="24"/>
          <w:szCs w:val="24"/>
        </w:rPr>
        <w:lastRenderedPageBreak/>
        <w:t>в ГБУ МО «Центр кадастровой оценки» заявление об исправлении ошибок, допущенных при определении кадастровой стоимости (далее – заявление).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Подача обращений и заявлений по проекту отчета осуществляется в порядке, установленном статьями 20 и 21 Федерального закона № 237-ФЗ и приказом Росреестра от 06.08.2020 № П/0280 «Об утверждении порядка рассмотрения обращений о предоставлении разъяснений, связанных с определением кадастровой стоимости, в том числе формы пре</w:t>
      </w:r>
      <w:r w:rsidR="0025329D" w:rsidRPr="0025329D">
        <w:rPr>
          <w:sz w:val="24"/>
          <w:szCs w:val="24"/>
        </w:rPr>
        <w:t>доставления таких разъяснений».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Заявления и обращения по проекту отчета в ГБУ МО «Центр кадастровой оценки» можно подать: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1) через государственную информационную систему Московской области «Портал государственных и муниципальных услуг Московской области» (</w:t>
      </w:r>
      <w:hyperlink r:id="rId9" w:history="1">
        <w:r w:rsidR="0025329D" w:rsidRPr="0025329D">
          <w:rPr>
            <w:rStyle w:val="a3"/>
            <w:sz w:val="24"/>
            <w:szCs w:val="24"/>
          </w:rPr>
          <w:t>https://uslugi.mosreg.ru/services/20823</w:t>
        </w:r>
      </w:hyperlink>
      <w:r w:rsidR="0025329D" w:rsidRPr="0025329D">
        <w:rPr>
          <w:sz w:val="24"/>
          <w:szCs w:val="24"/>
        </w:rPr>
        <w:t xml:space="preserve"> </w:t>
      </w:r>
      <w:r w:rsidRPr="0025329D">
        <w:rPr>
          <w:sz w:val="24"/>
          <w:szCs w:val="24"/>
        </w:rPr>
        <w:t>);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2) через многофункциональные центры</w:t>
      </w:r>
      <w:r w:rsidR="0025329D" w:rsidRPr="0025329D">
        <w:rPr>
          <w:sz w:val="24"/>
          <w:szCs w:val="24"/>
        </w:rPr>
        <w:t xml:space="preserve"> предоставления государственных </w:t>
      </w:r>
      <w:r w:rsidRPr="0025329D">
        <w:rPr>
          <w:sz w:val="24"/>
          <w:szCs w:val="24"/>
        </w:rPr>
        <w:t>и муниципальных услуг Московской области (МФЦ), в которых обеспечивается предоставление бесплатного доступа заявителей к «Порталу государственных и муниципальных услуг Московской области»;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3) почтовым отправлением в адрес ГБУ МО «Центр кадастровой оценки» (143407, Московская область, г. Красногорск, бульвар Строителей, д.</w:t>
      </w:r>
      <w:r w:rsidR="0025329D">
        <w:rPr>
          <w:sz w:val="24"/>
          <w:szCs w:val="24"/>
        </w:rPr>
        <w:t xml:space="preserve"> </w:t>
      </w:r>
      <w:r w:rsidRPr="0025329D">
        <w:rPr>
          <w:sz w:val="24"/>
          <w:szCs w:val="24"/>
        </w:rPr>
        <w:t>1);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4) направлением на электронную почту ГБУ МО «Центр кадастровой оценки» cko-mo@mosreg.ru (обращение должно быть заверено электронной цифровой подписью).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 xml:space="preserve">С </w:t>
      </w:r>
      <w:r w:rsidRPr="0025329D">
        <w:rPr>
          <w:bCs/>
          <w:sz w:val="24"/>
          <w:szCs w:val="24"/>
        </w:rPr>
        <w:t xml:space="preserve">формой и порядком подачи обращения и заявления </w:t>
      </w:r>
      <w:r w:rsidR="0025329D" w:rsidRPr="0025329D">
        <w:rPr>
          <w:sz w:val="24"/>
          <w:szCs w:val="24"/>
        </w:rPr>
        <w:t xml:space="preserve">можно ознакомиться </w:t>
      </w:r>
      <w:r w:rsidRPr="0025329D">
        <w:rPr>
          <w:sz w:val="24"/>
          <w:szCs w:val="24"/>
        </w:rPr>
        <w:t>на официальном сайте ГБУ МО «Центр кадаст</w:t>
      </w:r>
      <w:r w:rsidR="0025329D" w:rsidRPr="0025329D">
        <w:rPr>
          <w:sz w:val="24"/>
          <w:szCs w:val="24"/>
        </w:rPr>
        <w:t xml:space="preserve">ровой оценки» </w:t>
      </w:r>
      <w:hyperlink r:id="rId10" w:history="1">
        <w:r w:rsidR="0025329D" w:rsidRPr="0025329D">
          <w:rPr>
            <w:rStyle w:val="a3"/>
            <w:sz w:val="24"/>
            <w:szCs w:val="24"/>
          </w:rPr>
          <w:t>https://ckomo.ru/</w:t>
        </w:r>
      </w:hyperlink>
      <w:r w:rsidR="0025329D" w:rsidRPr="0025329D">
        <w:rPr>
          <w:sz w:val="24"/>
          <w:szCs w:val="24"/>
        </w:rPr>
        <w:t xml:space="preserve"> </w:t>
      </w:r>
      <w:r w:rsidRPr="0025329D">
        <w:rPr>
          <w:sz w:val="24"/>
          <w:szCs w:val="24"/>
        </w:rPr>
        <w:t>в разделе «Кадастровая оценка».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Федеральным законом от 19 декабря 2022 года № 546-ФЗ «О внесении изменений в отдельные законодательные акты Российской Федерации» до 1 января 2026 года продлен период действия механизма досудебного урегулирования споров в комиссии по рассмотрению споров о результатах определения кадастровой стоимости, установленный статьей 2</w:t>
      </w:r>
      <w:r w:rsidR="0025329D" w:rsidRPr="0025329D">
        <w:rPr>
          <w:sz w:val="24"/>
          <w:szCs w:val="24"/>
        </w:rPr>
        <w:t>2 Федерального закона № 237-ФЗ.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В Московской области утвержденные результаты определения кадастровой стоимости могут быть оспорены в Комиссии по рассмотрению споров о результатах определения кадастровой стоимости при Минмособлимуществе или в судебном порядке.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Обратиться с заявлением об оспаривании утвержденных результатов</w:t>
      </w:r>
      <w:r w:rsidRPr="0025329D">
        <w:rPr>
          <w:color w:val="FF0000"/>
          <w:sz w:val="24"/>
          <w:szCs w:val="24"/>
        </w:rPr>
        <w:t xml:space="preserve"> </w:t>
      </w:r>
      <w:r w:rsidRPr="0025329D">
        <w:rPr>
          <w:sz w:val="24"/>
          <w:szCs w:val="24"/>
        </w:rPr>
        <w:t>определения кадастровой стоимости объектов недвижимости в Московской области</w:t>
      </w:r>
      <w:r w:rsidRPr="0025329D">
        <w:rPr>
          <w:color w:val="FF0000"/>
          <w:sz w:val="24"/>
          <w:szCs w:val="24"/>
        </w:rPr>
        <w:t xml:space="preserve"> </w:t>
      </w:r>
      <w:r w:rsidRPr="0025329D">
        <w:rPr>
          <w:sz w:val="24"/>
          <w:szCs w:val="24"/>
        </w:rPr>
        <w:t>можно: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1) через государственную информационную систему Московской области «Портал государственных и муниципальных услуг Московской области» (</w:t>
      </w:r>
      <w:hyperlink r:id="rId11" w:history="1">
        <w:r w:rsidR="0025329D" w:rsidRPr="0025329D">
          <w:rPr>
            <w:rStyle w:val="a3"/>
            <w:sz w:val="24"/>
            <w:szCs w:val="24"/>
          </w:rPr>
          <w:t>https://uslugi.mosreg.ru/services/20995</w:t>
        </w:r>
      </w:hyperlink>
      <w:r w:rsidR="0025329D" w:rsidRPr="0025329D">
        <w:rPr>
          <w:sz w:val="24"/>
          <w:szCs w:val="24"/>
        </w:rPr>
        <w:t xml:space="preserve"> </w:t>
      </w:r>
      <w:r w:rsidRPr="0025329D">
        <w:rPr>
          <w:sz w:val="24"/>
          <w:szCs w:val="24"/>
        </w:rPr>
        <w:t>);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2) почтовым отправлением в адрес Минмособлимущества (143407, Московская область, г. Красногорск, бульвар Строителей, д.</w:t>
      </w:r>
      <w:r w:rsidR="0025329D">
        <w:rPr>
          <w:sz w:val="24"/>
          <w:szCs w:val="24"/>
        </w:rPr>
        <w:t xml:space="preserve"> </w:t>
      </w:r>
      <w:r w:rsidRPr="0025329D">
        <w:rPr>
          <w:sz w:val="24"/>
          <w:szCs w:val="24"/>
        </w:rPr>
        <w:t>1);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3) направлением на электр</w:t>
      </w:r>
      <w:r w:rsidR="0025329D" w:rsidRPr="0025329D">
        <w:rPr>
          <w:sz w:val="24"/>
          <w:szCs w:val="24"/>
        </w:rPr>
        <w:t xml:space="preserve">онную почту Минмособлимущества </w:t>
      </w:r>
      <w:r w:rsidRPr="0025329D">
        <w:rPr>
          <w:sz w:val="24"/>
          <w:szCs w:val="24"/>
        </w:rPr>
        <w:t>(</w:t>
      </w:r>
      <w:hyperlink r:id="rId12" w:history="1">
        <w:r w:rsidR="0025329D" w:rsidRPr="0025329D">
          <w:rPr>
            <w:rStyle w:val="a3"/>
            <w:sz w:val="24"/>
            <w:szCs w:val="24"/>
          </w:rPr>
          <w:t>Mio-kadastr@mosreg.ru</w:t>
        </w:r>
      </w:hyperlink>
      <w:r w:rsidR="0025329D" w:rsidRPr="0025329D">
        <w:rPr>
          <w:sz w:val="24"/>
          <w:szCs w:val="24"/>
        </w:rPr>
        <w:t xml:space="preserve"> </w:t>
      </w:r>
      <w:r w:rsidRPr="0025329D">
        <w:rPr>
          <w:sz w:val="24"/>
          <w:szCs w:val="24"/>
        </w:rPr>
        <w:t>);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>4) нарочно, сдав заявление в Приемную корреспонденции Дома Правитель</w:t>
      </w:r>
      <w:r w:rsidR="0025329D">
        <w:rPr>
          <w:sz w:val="24"/>
          <w:szCs w:val="24"/>
        </w:rPr>
        <w:t>ства Московской области.</w:t>
      </w:r>
    </w:p>
    <w:p w:rsidR="00693E49" w:rsidRPr="0025329D" w:rsidRDefault="00693E49" w:rsidP="00693E49">
      <w:pPr>
        <w:ind w:right="-1" w:firstLine="709"/>
        <w:jc w:val="both"/>
        <w:rPr>
          <w:sz w:val="24"/>
          <w:szCs w:val="24"/>
        </w:rPr>
      </w:pPr>
      <w:r w:rsidRPr="0025329D">
        <w:rPr>
          <w:sz w:val="24"/>
          <w:szCs w:val="24"/>
        </w:rPr>
        <w:t xml:space="preserve">С формой заявления и порядком подачи заявления об оспаривании утвержденных результатах определения кадастровой стоимости объектов недвижимости можно ознакомиться на официальном сайте Минмособлимущества по ссылке </w:t>
      </w:r>
      <w:hyperlink r:id="rId13" w:history="1">
        <w:r w:rsidR="0025329D" w:rsidRPr="0025329D">
          <w:rPr>
            <w:rStyle w:val="a3"/>
            <w:sz w:val="24"/>
            <w:szCs w:val="24"/>
          </w:rPr>
          <w:t>http://mio.mosreg.ru/deyatelnost/deyatelnost/komissiya-po-rassmotreniyu-sporov-o-rezultatakh-opredeleniya-kadastrovoi-stoimosti</w:t>
        </w:r>
      </w:hyperlink>
      <w:r w:rsidR="0025329D" w:rsidRPr="0025329D">
        <w:rPr>
          <w:sz w:val="24"/>
          <w:szCs w:val="24"/>
        </w:rPr>
        <w:t xml:space="preserve"> </w:t>
      </w:r>
      <w:r w:rsidRPr="0025329D">
        <w:rPr>
          <w:sz w:val="24"/>
          <w:szCs w:val="24"/>
        </w:rPr>
        <w:t>.</w:t>
      </w:r>
    </w:p>
    <w:p w:rsidR="00A10051" w:rsidRDefault="00A10051" w:rsidP="0025329D">
      <w:pPr>
        <w:rPr>
          <w:sz w:val="24"/>
          <w:szCs w:val="24"/>
        </w:rPr>
      </w:pPr>
    </w:p>
    <w:p w:rsidR="0025329D" w:rsidRPr="0025329D" w:rsidRDefault="0025329D" w:rsidP="0025329D">
      <w:pPr>
        <w:rPr>
          <w:sz w:val="24"/>
          <w:szCs w:val="24"/>
        </w:rPr>
      </w:pPr>
    </w:p>
    <w:p w:rsidR="00A10051" w:rsidRPr="0025329D" w:rsidRDefault="00693E49" w:rsidP="00A10051">
      <w:pPr>
        <w:rPr>
          <w:sz w:val="24"/>
          <w:szCs w:val="24"/>
        </w:rPr>
      </w:pPr>
      <w:r w:rsidRPr="0025329D">
        <w:rPr>
          <w:sz w:val="24"/>
          <w:szCs w:val="24"/>
        </w:rPr>
        <w:t>И.о.</w:t>
      </w:r>
      <w:r w:rsidR="0025329D" w:rsidRPr="0025329D">
        <w:rPr>
          <w:sz w:val="24"/>
          <w:szCs w:val="24"/>
        </w:rPr>
        <w:t xml:space="preserve"> </w:t>
      </w:r>
      <w:r w:rsidR="0025329D">
        <w:rPr>
          <w:sz w:val="24"/>
          <w:szCs w:val="24"/>
        </w:rPr>
        <w:t>п</w:t>
      </w:r>
      <w:bookmarkStart w:id="0" w:name="_GoBack"/>
      <w:bookmarkEnd w:id="0"/>
      <w:r w:rsidR="00A10051" w:rsidRPr="0025329D">
        <w:rPr>
          <w:sz w:val="24"/>
          <w:szCs w:val="24"/>
        </w:rPr>
        <w:t>редседател</w:t>
      </w:r>
      <w:r w:rsidRPr="0025329D">
        <w:rPr>
          <w:sz w:val="24"/>
          <w:szCs w:val="24"/>
        </w:rPr>
        <w:t>я</w:t>
      </w:r>
      <w:r w:rsidR="0025329D" w:rsidRPr="0025329D">
        <w:rPr>
          <w:sz w:val="24"/>
          <w:szCs w:val="24"/>
        </w:rPr>
        <w:t xml:space="preserve"> </w:t>
      </w:r>
      <w:r w:rsidR="00A10051" w:rsidRPr="0025329D">
        <w:rPr>
          <w:sz w:val="24"/>
          <w:szCs w:val="24"/>
        </w:rPr>
        <w:t>Комитета имущественных</w:t>
      </w:r>
    </w:p>
    <w:p w:rsidR="00A10051" w:rsidRPr="0025329D" w:rsidRDefault="00A10051" w:rsidP="00A10051">
      <w:pPr>
        <w:rPr>
          <w:sz w:val="24"/>
          <w:szCs w:val="24"/>
        </w:rPr>
      </w:pPr>
      <w:r w:rsidRPr="0025329D">
        <w:rPr>
          <w:sz w:val="24"/>
          <w:szCs w:val="24"/>
        </w:rPr>
        <w:t>отношений Администрации городского</w:t>
      </w:r>
    </w:p>
    <w:p w:rsidR="00A10051" w:rsidRPr="0025329D" w:rsidRDefault="00A10051" w:rsidP="0025329D">
      <w:pPr>
        <w:rPr>
          <w:sz w:val="24"/>
          <w:szCs w:val="24"/>
        </w:rPr>
      </w:pPr>
      <w:r w:rsidRPr="0025329D">
        <w:rPr>
          <w:sz w:val="24"/>
          <w:szCs w:val="24"/>
        </w:rPr>
        <w:t>округа Э</w:t>
      </w:r>
      <w:r w:rsidR="0025329D" w:rsidRPr="0025329D">
        <w:rPr>
          <w:sz w:val="24"/>
          <w:szCs w:val="24"/>
        </w:rPr>
        <w:t>лектросталь Московской области</w:t>
      </w:r>
      <w:r w:rsidR="0025329D">
        <w:rPr>
          <w:sz w:val="24"/>
          <w:szCs w:val="24"/>
        </w:rPr>
        <w:tab/>
      </w:r>
      <w:r w:rsidR="0025329D">
        <w:rPr>
          <w:sz w:val="24"/>
          <w:szCs w:val="24"/>
        </w:rPr>
        <w:tab/>
      </w:r>
      <w:r w:rsidR="0025329D">
        <w:rPr>
          <w:sz w:val="24"/>
          <w:szCs w:val="24"/>
        </w:rPr>
        <w:tab/>
      </w:r>
      <w:r w:rsidR="0025329D">
        <w:rPr>
          <w:sz w:val="24"/>
          <w:szCs w:val="24"/>
        </w:rPr>
        <w:tab/>
        <w:t xml:space="preserve">           </w:t>
      </w:r>
      <w:r w:rsidR="00693E49" w:rsidRPr="0025329D">
        <w:rPr>
          <w:sz w:val="24"/>
          <w:szCs w:val="24"/>
        </w:rPr>
        <w:t>И.В.</w:t>
      </w:r>
      <w:r w:rsidR="0025329D" w:rsidRPr="0025329D">
        <w:rPr>
          <w:sz w:val="24"/>
          <w:szCs w:val="24"/>
        </w:rPr>
        <w:t xml:space="preserve"> </w:t>
      </w:r>
      <w:r w:rsidR="00693E49" w:rsidRPr="0025329D">
        <w:rPr>
          <w:sz w:val="24"/>
          <w:szCs w:val="24"/>
        </w:rPr>
        <w:t>Нестерова</w:t>
      </w:r>
    </w:p>
    <w:sectPr w:rsidR="00A10051" w:rsidRPr="0025329D" w:rsidSect="00E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AC" w:rsidRDefault="007208AC" w:rsidP="00D454BC">
      <w:r>
        <w:separator/>
      </w:r>
    </w:p>
  </w:endnote>
  <w:endnote w:type="continuationSeparator" w:id="0">
    <w:p w:rsidR="007208AC" w:rsidRDefault="007208AC" w:rsidP="00D4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AC" w:rsidRDefault="007208AC" w:rsidP="00D454BC">
      <w:r>
        <w:separator/>
      </w:r>
    </w:p>
  </w:footnote>
  <w:footnote w:type="continuationSeparator" w:id="0">
    <w:p w:rsidR="007208AC" w:rsidRDefault="007208AC" w:rsidP="00D4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CE6"/>
    <w:multiLevelType w:val="hybridMultilevel"/>
    <w:tmpl w:val="529A407A"/>
    <w:lvl w:ilvl="0" w:tplc="DD5249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3DE697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3" w:hanging="423"/>
      </w:pPr>
      <w:rPr>
        <w:rFonts w:ascii="Times New Roman" w:eastAsia="Times New Roman" w:hAnsi="Times New Roman" w:cs="Times New Roman" w:hint="default"/>
        <w:b w:val="0"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4A613444"/>
    <w:multiLevelType w:val="hybridMultilevel"/>
    <w:tmpl w:val="F698DC1C"/>
    <w:lvl w:ilvl="0" w:tplc="96DA9142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" w15:restartNumberingAfterBreak="0">
    <w:nsid w:val="6DE12E03"/>
    <w:multiLevelType w:val="hybridMultilevel"/>
    <w:tmpl w:val="8988A0B2"/>
    <w:lvl w:ilvl="0" w:tplc="72D02A08">
      <w:start w:val="1"/>
      <w:numFmt w:val="decimal"/>
      <w:suff w:val="space"/>
      <w:lvlText w:val="%1."/>
      <w:lvlJc w:val="left"/>
      <w:pPr>
        <w:ind w:left="686" w:hanging="284"/>
      </w:pPr>
      <w:rPr>
        <w:rFonts w:ascii="Times New Roman" w:eastAsia="Times New Roman" w:hAnsi="Times New Roman" w:cs="Times New Roman" w:hint="default"/>
        <w:b w:val="0"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63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38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13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588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38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13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488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4BC"/>
    <w:rsid w:val="00030091"/>
    <w:rsid w:val="00093EC4"/>
    <w:rsid w:val="0025329D"/>
    <w:rsid w:val="0041485B"/>
    <w:rsid w:val="004B7CCC"/>
    <w:rsid w:val="00611FA6"/>
    <w:rsid w:val="00693E49"/>
    <w:rsid w:val="007208AC"/>
    <w:rsid w:val="00746889"/>
    <w:rsid w:val="00947D4E"/>
    <w:rsid w:val="009B1D38"/>
    <w:rsid w:val="009C05E3"/>
    <w:rsid w:val="00A10051"/>
    <w:rsid w:val="00A440BA"/>
    <w:rsid w:val="00B01923"/>
    <w:rsid w:val="00B75886"/>
    <w:rsid w:val="00B9471F"/>
    <w:rsid w:val="00C12354"/>
    <w:rsid w:val="00D454BC"/>
    <w:rsid w:val="00D67B45"/>
    <w:rsid w:val="00DB2206"/>
    <w:rsid w:val="00DD6985"/>
    <w:rsid w:val="00E11560"/>
    <w:rsid w:val="00E36133"/>
    <w:rsid w:val="00E80F95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1BCBD2F-2083-40EE-A1AD-CE90644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4B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customStyle="1" w:styleId="10">
    <w:name w:val="Заголовок 1 Знак"/>
    <w:basedOn w:val="a0"/>
    <w:link w:val="1"/>
    <w:rsid w:val="00D454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qFormat/>
    <w:rsid w:val="00D454BC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D454BC"/>
    <w:pPr>
      <w:ind w:left="708"/>
    </w:pPr>
    <w:rPr>
      <w:sz w:val="24"/>
      <w:lang w:val="en-US" w:eastAsia="en-US"/>
    </w:rPr>
  </w:style>
  <w:style w:type="paragraph" w:styleId="a5">
    <w:name w:val="footnote text"/>
    <w:basedOn w:val="a"/>
    <w:link w:val="a6"/>
    <w:qFormat/>
    <w:rsid w:val="00D454BC"/>
  </w:style>
  <w:style w:type="character" w:customStyle="1" w:styleId="a6">
    <w:name w:val="Текст сноски Знак"/>
    <w:basedOn w:val="a0"/>
    <w:link w:val="a5"/>
    <w:qFormat/>
    <w:rsid w:val="00D45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qFormat/>
    <w:rsid w:val="00D454BC"/>
    <w:rPr>
      <w:vertAlign w:val="superscript"/>
    </w:rPr>
  </w:style>
  <w:style w:type="paragraph" w:customStyle="1" w:styleId="Default">
    <w:name w:val="Default"/>
    <w:rsid w:val="00D45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54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0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1"/>
    <w:qFormat/>
    <w:rsid w:val="00A10051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A1005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omo.ru/01.01.06.06/356" TargetMode="External"/><Relationship Id="rId13" Type="http://schemas.openxmlformats.org/officeDocument/2006/relationships/hyperlink" Target="http://mio.mosreg.ru/deyatelnost/deyatelnost/komissiya-po-rassmotreniyu-sporov-o-rezultatakh-opredeleniya-kadastrovoi-stoim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activity/kadastrovaya-otsenka/fond-dannykh-gosudarstvennoy-kadastrovoy-otsenki/poluchit-svedeniya-kadastrovoy-otsenki/" TargetMode="External"/><Relationship Id="rId12" Type="http://schemas.openxmlformats.org/officeDocument/2006/relationships/hyperlink" Target="mailto:Mio-kadastr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lugi.mosreg.ru/services/2099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ko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lugi.mosreg.ru/services/208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10</cp:revision>
  <cp:lastPrinted>2023-03-01T08:42:00Z</cp:lastPrinted>
  <dcterms:created xsi:type="dcterms:W3CDTF">2022-03-15T13:13:00Z</dcterms:created>
  <dcterms:modified xsi:type="dcterms:W3CDTF">2023-03-02T13:27:00Z</dcterms:modified>
</cp:coreProperties>
</file>