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4811F" w14:textId="44713F53" w:rsidR="00B85D59" w:rsidRPr="00021F7C" w:rsidRDefault="00ED0E90" w:rsidP="002C1F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021F7C">
        <w:rPr>
          <w:rFonts w:ascii="Times New Roman" w:hAnsi="Times New Roman" w:cs="Times New Roman"/>
          <w:b/>
        </w:rPr>
        <w:t xml:space="preserve">ИЗВЕЩЕНИЕ </w:t>
      </w:r>
      <w:r w:rsidR="006F454A" w:rsidRPr="00021F7C">
        <w:rPr>
          <w:rFonts w:ascii="Times New Roman" w:hAnsi="Times New Roman" w:cs="Times New Roman"/>
          <w:b/>
        </w:rPr>
        <w:t>№1</w:t>
      </w:r>
    </w:p>
    <w:p w14:paraId="2A5D612A" w14:textId="6525CBB0" w:rsidR="006F454A" w:rsidRPr="00021F7C" w:rsidRDefault="00ED0E90" w:rsidP="006F454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  <w:r w:rsidRPr="00021F7C">
        <w:rPr>
          <w:rFonts w:ascii="Times New Roman" w:hAnsi="Times New Roman" w:cs="Times New Roman"/>
          <w:b/>
          <w:bCs/>
          <w:color w:val="000000"/>
          <w:lang w:eastAsia="ru-RU" w:bidi="ru-RU"/>
        </w:rPr>
        <w:t>о предостав</w:t>
      </w:r>
      <w:r w:rsidR="00A820D5">
        <w:rPr>
          <w:rFonts w:ascii="Times New Roman" w:hAnsi="Times New Roman" w:cs="Times New Roman"/>
          <w:b/>
          <w:bCs/>
          <w:color w:val="000000"/>
          <w:lang w:eastAsia="ru-RU" w:bidi="ru-RU"/>
        </w:rPr>
        <w:t>лении муниципальной преференции</w:t>
      </w:r>
    </w:p>
    <w:p w14:paraId="5B656432" w14:textId="1414FD51" w:rsidR="006F454A" w:rsidRPr="00021F7C" w:rsidRDefault="006F454A" w:rsidP="006F454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  <w:r w:rsidRPr="00021F7C">
        <w:rPr>
          <w:rFonts w:ascii="Times New Roman" w:hAnsi="Times New Roman" w:cs="Times New Roman"/>
          <w:b/>
          <w:bCs/>
        </w:rPr>
        <w:t>субъектам малого или среднего предпринимательст</w:t>
      </w:r>
      <w:r w:rsidR="00A820D5">
        <w:rPr>
          <w:rFonts w:ascii="Times New Roman" w:hAnsi="Times New Roman" w:cs="Times New Roman"/>
          <w:b/>
          <w:bCs/>
        </w:rPr>
        <w:t>ва мест для организации ярмарок</w:t>
      </w:r>
    </w:p>
    <w:p w14:paraId="5BC1A722" w14:textId="77777777" w:rsidR="006F454A" w:rsidRPr="00021F7C" w:rsidRDefault="006F454A" w:rsidP="006F454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  <w:r w:rsidRPr="00021F7C">
        <w:rPr>
          <w:rFonts w:ascii="Times New Roman" w:hAnsi="Times New Roman" w:cs="Times New Roman"/>
          <w:b/>
          <w:bCs/>
        </w:rPr>
        <w:t>без проведения торгов на льготных условиях</w:t>
      </w:r>
      <w:bookmarkEnd w:id="0"/>
    </w:p>
    <w:p w14:paraId="4DFA6DEF" w14:textId="2F359C71" w:rsidR="00ED0E90" w:rsidRPr="00021F7C" w:rsidRDefault="00ED0E90" w:rsidP="002C1F0C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 w:bidi="ru-RU"/>
        </w:rPr>
      </w:pPr>
    </w:p>
    <w:p w14:paraId="31DC7FF3" w14:textId="09CB795B" w:rsidR="00ED0E90" w:rsidRPr="00021F7C" w:rsidRDefault="00ED0E90" w:rsidP="00D63A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021F7C">
        <w:rPr>
          <w:rFonts w:ascii="Times New Roman" w:hAnsi="Times New Roman" w:cs="Times New Roman"/>
          <w:lang w:eastAsia="ru-RU" w:bidi="ru-RU"/>
        </w:rPr>
        <w:t xml:space="preserve">Администрация </w:t>
      </w:r>
      <w:r w:rsidR="006F454A" w:rsidRPr="00021F7C">
        <w:rPr>
          <w:rFonts w:ascii="Times New Roman" w:hAnsi="Times New Roman" w:cs="Times New Roman"/>
          <w:lang w:eastAsia="ru-RU" w:bidi="ru-RU"/>
        </w:rPr>
        <w:t>городского округа Электросталь Московской области в</w:t>
      </w:r>
      <w:r w:rsidR="006F454A" w:rsidRPr="00021F7C">
        <w:rPr>
          <w:rFonts w:ascii="Times New Roman" w:hAnsi="Times New Roman" w:cs="Times New Roman"/>
        </w:rPr>
        <w:t xml:space="preserve"> соответствии с Федеральным законом от 28.12.2009 № 381-ФЗ «Об основах государственного регулирования торговой деятельности в Российской Федерации», Федеральным законом от 26.07.2006 №135-ФЗ «О защите конкуренции», Федеральным законом от 24.07.2007 № 209-ФЗ «О 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Московской области от 24.12.2010 №174/2010-ОЗ «О государственном регулировании торговой деятельности в Московской области», </w:t>
      </w:r>
      <w:hyperlink r:id="rId6" w:history="1">
        <w:r w:rsidR="006F454A" w:rsidRPr="00021F7C">
          <w:rPr>
            <w:rStyle w:val="ab"/>
            <w:rFonts w:ascii="Times New Roman" w:hAnsi="Times New Roman" w:cs="Times New Roman"/>
            <w:color w:val="auto"/>
            <w:u w:val="none"/>
          </w:rPr>
          <w:t>Федеральным законом от 24.07.2007 N 209-ФЗ  "О развитии малого и среднего предпринимательства в Российской Федерации"</w:t>
        </w:r>
      </w:hyperlink>
      <w:r w:rsidR="006F454A" w:rsidRPr="00021F7C">
        <w:rPr>
          <w:rFonts w:ascii="Times New Roman" w:hAnsi="Times New Roman" w:cs="Times New Roman"/>
        </w:rPr>
        <w:t>, постановлением Правительства Московской области от 16.11.2021 №1170/40 «Об утверждении Порядка организации ярмарок на территории Московской области и продажи товаров (выполнение работ, оказания услуг) на них», государственной программой Московской области «Предпринимательство Подмосковья» на 2023-2027 годы, утвержденной постановлением Правительства Московской области от 04.10.2022 №1074/35, муниципальной программой городского округа Электросталь Московской области «Предпринимательство», утвержденной постановлением Администрации городского округа Электросталь Московской области от 12.12.2022 №1447/12, Сводным перечнем мест проведения ярмарок на территории Московской области, утвержденным распоряжением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области» (с изменениями), Уставом городского округа Электросталь Московской области</w:t>
      </w:r>
      <w:r w:rsidRPr="00021F7C">
        <w:rPr>
          <w:rFonts w:ascii="Times New Roman" w:hAnsi="Times New Roman" w:cs="Times New Roman"/>
          <w:lang w:eastAsia="ru-RU" w:bidi="ru-RU"/>
        </w:rPr>
        <w:t xml:space="preserve">, извещает о предоставлении муниципальной преференции </w:t>
      </w:r>
      <w:r w:rsidR="006F454A" w:rsidRPr="00021F7C">
        <w:rPr>
          <w:rFonts w:ascii="Times New Roman" w:hAnsi="Times New Roman" w:cs="Times New Roman"/>
        </w:rPr>
        <w:t xml:space="preserve">субъектам малого или среднего предпринимательства мест для организации ярмарок без проведения торгов на льготных условиях </w:t>
      </w:r>
      <w:r w:rsidRPr="00021F7C">
        <w:rPr>
          <w:rFonts w:ascii="Times New Roman" w:hAnsi="Times New Roman" w:cs="Times New Roman"/>
          <w:lang w:eastAsia="ru-RU" w:bidi="ru-RU"/>
        </w:rPr>
        <w:t xml:space="preserve">(путем заключения договоров </w:t>
      </w:r>
      <w:r w:rsidR="006F454A" w:rsidRPr="00021F7C">
        <w:rPr>
          <w:rFonts w:ascii="Times New Roman" w:hAnsi="Times New Roman" w:cs="Times New Roman"/>
        </w:rPr>
        <w:t>на организацию ярмарок без проведения торгов на льготных условиях (преференция)</w:t>
      </w:r>
      <w:r w:rsidRPr="00021F7C">
        <w:rPr>
          <w:rFonts w:ascii="Times New Roman" w:hAnsi="Times New Roman" w:cs="Times New Roman"/>
          <w:lang w:eastAsia="ru-RU" w:bidi="ru-RU"/>
        </w:rPr>
        <w:t>:</w:t>
      </w:r>
    </w:p>
    <w:p w14:paraId="14DD653E" w14:textId="77777777" w:rsidR="00021F7C" w:rsidRDefault="00021F7C" w:rsidP="00D63A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ru-RU" w:bidi="ru-RU"/>
        </w:rPr>
      </w:pPr>
    </w:p>
    <w:p w14:paraId="7C8D4563" w14:textId="688A1891" w:rsidR="00B4491B" w:rsidRPr="00021F7C" w:rsidRDefault="00B4491B" w:rsidP="00D63A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ru-RU" w:bidi="ru-RU"/>
        </w:rPr>
      </w:pPr>
      <w:r w:rsidRPr="00021F7C">
        <w:rPr>
          <w:rFonts w:ascii="Times New Roman" w:hAnsi="Times New Roman" w:cs="Times New Roman"/>
          <w:b/>
          <w:color w:val="000000"/>
          <w:lang w:eastAsia="ru-RU" w:bidi="ru-RU"/>
        </w:rPr>
        <w:t>1. Организатор</w:t>
      </w:r>
    </w:p>
    <w:p w14:paraId="3157940A" w14:textId="2C17EF0A" w:rsidR="00D63AB2" w:rsidRPr="00021F7C" w:rsidRDefault="00B4491B" w:rsidP="00D63AB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021F7C">
        <w:rPr>
          <w:rFonts w:ascii="Times New Roman" w:hAnsi="Times New Roman" w:cs="Times New Roman"/>
          <w:color w:val="000000"/>
          <w:lang w:eastAsia="ru-RU" w:bidi="ru-RU"/>
        </w:rPr>
        <w:t>Наименование</w:t>
      </w:r>
      <w:r w:rsidR="00685C62" w:rsidRPr="00021F7C">
        <w:rPr>
          <w:rFonts w:ascii="Times New Roman" w:hAnsi="Times New Roman" w:cs="Times New Roman"/>
          <w:color w:val="000000"/>
          <w:lang w:eastAsia="ru-RU" w:bidi="ru-RU"/>
        </w:rPr>
        <w:t xml:space="preserve">: Администрация </w:t>
      </w:r>
      <w:r w:rsidR="00D63AB2" w:rsidRPr="00021F7C">
        <w:rPr>
          <w:rFonts w:ascii="Times New Roman" w:hAnsi="Times New Roman" w:cs="Times New Roman"/>
          <w:lang w:eastAsia="ru-RU" w:bidi="ru-RU"/>
        </w:rPr>
        <w:t xml:space="preserve">городского округа Электросталь Московской области </w:t>
      </w:r>
      <w:r w:rsidR="00685C62" w:rsidRPr="00021F7C">
        <w:rPr>
          <w:rFonts w:ascii="Times New Roman" w:hAnsi="Times New Roman" w:cs="Times New Roman"/>
          <w:color w:val="000000"/>
          <w:lang w:eastAsia="ru-RU" w:bidi="ru-RU"/>
        </w:rPr>
        <w:t xml:space="preserve">Местонахождение: </w:t>
      </w:r>
      <w:r w:rsidR="00885908">
        <w:rPr>
          <w:rFonts w:ascii="Times New Roman" w:hAnsi="Times New Roman" w:cs="Times New Roman"/>
          <w:color w:val="000000"/>
          <w:lang w:eastAsia="ru-RU" w:bidi="ru-RU"/>
        </w:rPr>
        <w:t xml:space="preserve">Московская область, г.Электросталь, ул. </w:t>
      </w:r>
      <w:r w:rsidR="007B6096">
        <w:rPr>
          <w:rFonts w:ascii="Times New Roman" w:hAnsi="Times New Roman" w:cs="Times New Roman"/>
          <w:color w:val="000000"/>
          <w:lang w:eastAsia="ru-RU" w:bidi="ru-RU"/>
        </w:rPr>
        <w:t xml:space="preserve">Мира, д.5, </w:t>
      </w:r>
      <w:proofErr w:type="spellStart"/>
      <w:r w:rsidR="007B6096">
        <w:rPr>
          <w:rFonts w:ascii="Times New Roman" w:hAnsi="Times New Roman" w:cs="Times New Roman"/>
          <w:color w:val="000000"/>
          <w:lang w:eastAsia="ru-RU" w:bidi="ru-RU"/>
        </w:rPr>
        <w:t>каб</w:t>
      </w:r>
      <w:proofErr w:type="spellEnd"/>
      <w:r w:rsidR="007B6096">
        <w:rPr>
          <w:rFonts w:ascii="Times New Roman" w:hAnsi="Times New Roman" w:cs="Times New Roman"/>
          <w:color w:val="000000"/>
          <w:lang w:eastAsia="ru-RU" w:bidi="ru-RU"/>
        </w:rPr>
        <w:t>. 103</w:t>
      </w:r>
    </w:p>
    <w:p w14:paraId="0B43C011" w14:textId="169BE077" w:rsidR="00D63AB2" w:rsidRPr="00021F7C" w:rsidRDefault="00685C62" w:rsidP="00D63AB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021F7C">
        <w:rPr>
          <w:rFonts w:ascii="Times New Roman" w:hAnsi="Times New Roman" w:cs="Times New Roman"/>
          <w:color w:val="000000"/>
          <w:lang w:eastAsia="ru-RU" w:bidi="ru-RU"/>
        </w:rPr>
        <w:t xml:space="preserve">телефон: </w:t>
      </w:r>
      <w:r w:rsidR="00885908">
        <w:rPr>
          <w:rFonts w:ascii="Times New Roman" w:hAnsi="Times New Roman" w:cs="Times New Roman"/>
          <w:color w:val="000000"/>
          <w:lang w:eastAsia="ru-RU" w:bidi="ru-RU"/>
        </w:rPr>
        <w:t>8(496)571-98-37</w:t>
      </w:r>
    </w:p>
    <w:p w14:paraId="47119533" w14:textId="1261EB8E" w:rsidR="00685C62" w:rsidRPr="00021F7C" w:rsidRDefault="00685C62" w:rsidP="00D63AB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021F7C">
        <w:rPr>
          <w:rFonts w:ascii="Times New Roman" w:hAnsi="Times New Roman" w:cs="Times New Roman"/>
          <w:color w:val="000000"/>
          <w:lang w:eastAsia="ru-RU" w:bidi="ru-RU"/>
        </w:rPr>
        <w:t xml:space="preserve">электронный адрес: </w:t>
      </w:r>
      <w:r w:rsidR="00885908" w:rsidRPr="00885908">
        <w:rPr>
          <w:rFonts w:ascii="Times New Roman" w:hAnsi="Times New Roman" w:cs="Times New Roman"/>
          <w:color w:val="000000"/>
          <w:lang w:eastAsia="ru-RU" w:bidi="ru-RU"/>
        </w:rPr>
        <w:t>torg_upr@electrostal.ru</w:t>
      </w:r>
    </w:p>
    <w:p w14:paraId="08959DB9" w14:textId="0FB8C734" w:rsidR="00ED0E90" w:rsidRPr="00021F7C" w:rsidRDefault="00D63AB2" w:rsidP="00D63AB2">
      <w:pPr>
        <w:pStyle w:val="20"/>
        <w:shd w:val="clear" w:color="auto" w:fill="auto"/>
        <w:spacing w:after="0" w:line="240" w:lineRule="auto"/>
        <w:jc w:val="both"/>
        <w:rPr>
          <w:color w:val="000000"/>
          <w:lang w:eastAsia="ru-RU" w:bidi="ru-RU"/>
        </w:rPr>
      </w:pPr>
      <w:r w:rsidRPr="00021F7C">
        <w:t>к</w:t>
      </w:r>
      <w:r w:rsidR="009056A4" w:rsidRPr="00021F7C">
        <w:t xml:space="preserve">онтактное лицо: </w:t>
      </w:r>
      <w:r w:rsidR="00885908">
        <w:t>Корюкова Е.Е.</w:t>
      </w:r>
    </w:p>
    <w:p w14:paraId="0469C3D3" w14:textId="77777777" w:rsidR="00021F7C" w:rsidRDefault="00021F7C" w:rsidP="00D63A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8A9A32" w14:textId="302B33AA" w:rsidR="00C01F23" w:rsidRPr="00021F7C" w:rsidRDefault="00B4491B" w:rsidP="00D63AB2">
      <w:pPr>
        <w:spacing w:after="0" w:line="240" w:lineRule="auto"/>
        <w:jc w:val="center"/>
        <w:rPr>
          <w:rStyle w:val="a3"/>
          <w:rFonts w:eastAsiaTheme="minorHAnsi"/>
          <w:b w:val="0"/>
          <w:color w:val="auto"/>
          <w:sz w:val="22"/>
          <w:szCs w:val="22"/>
          <w:u w:val="none"/>
        </w:rPr>
      </w:pPr>
      <w:r w:rsidRPr="00021F7C">
        <w:rPr>
          <w:rFonts w:ascii="Times New Roman" w:hAnsi="Times New Roman" w:cs="Times New Roman"/>
          <w:b/>
        </w:rPr>
        <w:t>2. </w:t>
      </w:r>
      <w:r w:rsidR="00C01F23" w:rsidRPr="00021F7C">
        <w:rPr>
          <w:rFonts w:ascii="Times New Roman" w:hAnsi="Times New Roman" w:cs="Times New Roman"/>
          <w:b/>
        </w:rPr>
        <w:t xml:space="preserve">Описание, месторасположение, характеристики и целевое назначение </w:t>
      </w:r>
      <w:r w:rsidR="00530518" w:rsidRPr="00021F7C">
        <w:rPr>
          <w:rFonts w:ascii="Times New Roman" w:hAnsi="Times New Roman" w:cs="Times New Roman"/>
          <w:b/>
        </w:rPr>
        <w:t>объекта муниципальной преференции</w:t>
      </w:r>
      <w:r w:rsidR="00C01F23" w:rsidRPr="00021F7C">
        <w:rPr>
          <w:rFonts w:ascii="Times New Roman" w:hAnsi="Times New Roman" w:cs="Times New Roman"/>
          <w:b/>
        </w:rPr>
        <w:t xml:space="preserve">, срок действия договора, размер платы 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6095"/>
        <w:gridCol w:w="2410"/>
        <w:gridCol w:w="1134"/>
      </w:tblGrid>
      <w:tr w:rsidR="00530518" w:rsidRPr="00021F7C" w14:paraId="31595694" w14:textId="77777777" w:rsidTr="00530518">
        <w:trPr>
          <w:trHeight w:hRule="exact" w:val="116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5C53B" w14:textId="77777777" w:rsidR="00530518" w:rsidRPr="00021F7C" w:rsidRDefault="00530518" w:rsidP="00B74A35">
            <w:pPr>
              <w:pStyle w:val="20"/>
              <w:shd w:val="clear" w:color="auto" w:fill="auto"/>
              <w:spacing w:line="240" w:lineRule="exact"/>
            </w:pPr>
            <w:r w:rsidRPr="00021F7C">
              <w:t>Лот</w:t>
            </w:r>
          </w:p>
          <w:p w14:paraId="0AAC3D2E" w14:textId="77777777" w:rsidR="00530518" w:rsidRPr="00021F7C" w:rsidRDefault="00530518" w:rsidP="00B74A35">
            <w:pPr>
              <w:pStyle w:val="20"/>
              <w:shd w:val="clear" w:color="auto" w:fill="auto"/>
              <w:spacing w:before="60" w:after="0" w:line="240" w:lineRule="exact"/>
            </w:pPr>
            <w:r w:rsidRPr="00021F7C"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3D1E6" w14:textId="77777777" w:rsidR="00530518" w:rsidRPr="00021F7C" w:rsidRDefault="00530518" w:rsidP="00B74A35">
            <w:pPr>
              <w:pStyle w:val="20"/>
              <w:shd w:val="clear" w:color="auto" w:fill="auto"/>
              <w:spacing w:after="0" w:line="274" w:lineRule="exact"/>
            </w:pPr>
            <w:r w:rsidRPr="00021F7C">
              <w:t xml:space="preserve">Описание и месторасположение </w:t>
            </w:r>
          </w:p>
          <w:p w14:paraId="2CDA51CD" w14:textId="77777777" w:rsidR="00745ACB" w:rsidRDefault="00530518" w:rsidP="00B74A35">
            <w:pPr>
              <w:pStyle w:val="20"/>
              <w:shd w:val="clear" w:color="auto" w:fill="auto"/>
              <w:spacing w:after="0" w:line="274" w:lineRule="exact"/>
            </w:pPr>
            <w:r w:rsidRPr="00021F7C">
              <w:t xml:space="preserve">муниципального имущества </w:t>
            </w:r>
          </w:p>
          <w:p w14:paraId="69882344" w14:textId="525F4B58" w:rsidR="00530518" w:rsidRPr="00021F7C" w:rsidRDefault="00530518" w:rsidP="00B74A35">
            <w:pPr>
              <w:pStyle w:val="20"/>
              <w:shd w:val="clear" w:color="auto" w:fill="auto"/>
              <w:spacing w:after="0" w:line="274" w:lineRule="exact"/>
            </w:pPr>
            <w:r w:rsidRPr="00021F7C">
              <w:t>(объекта муниципальной преференции)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DE92E" w14:textId="19A2D845" w:rsidR="00530518" w:rsidRPr="00021F7C" w:rsidRDefault="00530518" w:rsidP="00B74A35">
            <w:pPr>
              <w:pStyle w:val="20"/>
              <w:shd w:val="clear" w:color="auto" w:fill="auto"/>
              <w:spacing w:after="0" w:line="269" w:lineRule="exact"/>
              <w:ind w:left="-100"/>
            </w:pPr>
            <w:r w:rsidRPr="00021F7C">
              <w:t>Характеристики объекта муниципальной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75EC1" w14:textId="6EE2E542" w:rsidR="00530518" w:rsidRPr="00021F7C" w:rsidRDefault="00530518" w:rsidP="00B74A35">
            <w:pPr>
              <w:pStyle w:val="20"/>
              <w:shd w:val="clear" w:color="auto" w:fill="auto"/>
              <w:spacing w:after="0" w:line="274" w:lineRule="exact"/>
              <w:ind w:left="-10"/>
            </w:pPr>
            <w:r w:rsidRPr="00021F7C">
              <w:t xml:space="preserve">Срок действия договора </w:t>
            </w:r>
          </w:p>
        </w:tc>
      </w:tr>
      <w:tr w:rsidR="00530518" w:rsidRPr="00021F7C" w14:paraId="491AE50A" w14:textId="77777777" w:rsidTr="00530518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B4860" w14:textId="77777777" w:rsidR="00530518" w:rsidRPr="00021F7C" w:rsidRDefault="00530518" w:rsidP="0006739C">
            <w:pPr>
              <w:pStyle w:val="20"/>
              <w:shd w:val="clear" w:color="auto" w:fill="auto"/>
              <w:spacing w:after="0" w:line="240" w:lineRule="exact"/>
              <w:rPr>
                <w:b/>
              </w:rPr>
            </w:pPr>
            <w:r w:rsidRPr="00021F7C">
              <w:rPr>
                <w:rStyle w:val="21"/>
                <w:b w:val="0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47833" w14:textId="77777777" w:rsidR="00530518" w:rsidRPr="00021F7C" w:rsidRDefault="00530518" w:rsidP="00F66E71">
            <w:pPr>
              <w:pStyle w:val="20"/>
              <w:shd w:val="clear" w:color="auto" w:fill="auto"/>
              <w:spacing w:after="0" w:line="240" w:lineRule="exact"/>
              <w:rPr>
                <w:b/>
              </w:rPr>
            </w:pPr>
            <w:r w:rsidRPr="00021F7C">
              <w:rPr>
                <w:rStyle w:val="21"/>
                <w:b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3F087" w14:textId="77777777" w:rsidR="00530518" w:rsidRPr="00021F7C" w:rsidRDefault="00530518" w:rsidP="00F66E71">
            <w:pPr>
              <w:pStyle w:val="20"/>
              <w:shd w:val="clear" w:color="auto" w:fill="auto"/>
              <w:spacing w:after="0" w:line="240" w:lineRule="exact"/>
              <w:rPr>
                <w:b/>
              </w:rPr>
            </w:pPr>
            <w:r w:rsidRPr="00021F7C">
              <w:rPr>
                <w:rStyle w:val="21"/>
                <w:b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1F4721" w14:textId="77777777" w:rsidR="00530518" w:rsidRPr="00021F7C" w:rsidRDefault="00530518" w:rsidP="00F66E71">
            <w:pPr>
              <w:pStyle w:val="20"/>
              <w:shd w:val="clear" w:color="auto" w:fill="auto"/>
              <w:spacing w:after="0" w:line="240" w:lineRule="exact"/>
              <w:rPr>
                <w:b/>
              </w:rPr>
            </w:pPr>
            <w:r w:rsidRPr="00021F7C">
              <w:rPr>
                <w:rStyle w:val="21"/>
                <w:b w:val="0"/>
                <w:sz w:val="22"/>
                <w:szCs w:val="22"/>
              </w:rPr>
              <w:t>4</w:t>
            </w:r>
          </w:p>
        </w:tc>
      </w:tr>
      <w:tr w:rsidR="00530518" w:rsidRPr="00021F7C" w14:paraId="6096223F" w14:textId="77777777" w:rsidTr="00745ACB">
        <w:trPr>
          <w:trHeight w:hRule="exact" w:val="155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23F9C" w14:textId="3058E553" w:rsidR="00530518" w:rsidRPr="00021F7C" w:rsidRDefault="00530518" w:rsidP="009568E9">
            <w:pPr>
              <w:pStyle w:val="20"/>
              <w:shd w:val="clear" w:color="auto" w:fill="auto"/>
              <w:spacing w:after="0" w:line="240" w:lineRule="exact"/>
            </w:pPr>
            <w:r w:rsidRPr="00021F7C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6FDF7" w14:textId="5C941E36" w:rsidR="00530518" w:rsidRPr="00021F7C" w:rsidRDefault="00530518" w:rsidP="00530518">
            <w:pPr>
              <w:pStyle w:val="20"/>
              <w:shd w:val="clear" w:color="auto" w:fill="auto"/>
              <w:spacing w:after="0" w:line="240" w:lineRule="auto"/>
              <w:jc w:val="both"/>
            </w:pPr>
            <w:r w:rsidRPr="00021F7C">
              <w:t>Земельный участок</w:t>
            </w:r>
            <w:r w:rsidR="00885908">
              <w:t xml:space="preserve">, </w:t>
            </w:r>
            <w:r w:rsidR="00885908" w:rsidRPr="00885908">
              <w:t>Координаты: 55.784332, 38.444949</w:t>
            </w:r>
            <w:r w:rsidR="00885908">
              <w:t xml:space="preserve"> </w:t>
            </w:r>
            <w:r w:rsidRPr="00021F7C">
              <w:t xml:space="preserve">расположенный по адресному ориентиру: Московская область, г. Электросталь, ул. Радио </w:t>
            </w:r>
            <w:r w:rsidR="00885908">
              <w:t xml:space="preserve">у </w:t>
            </w:r>
            <w:r w:rsidR="007B6096">
              <w:t>д. 3, площадью 800 кв.м</w:t>
            </w:r>
          </w:p>
          <w:p w14:paraId="5DAE74DB" w14:textId="0E33A6F9" w:rsidR="00530518" w:rsidRPr="00021F7C" w:rsidRDefault="00530518" w:rsidP="007610E9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021F7C">
              <w:t>Количество торговых мест на ярмарке - 100.</w:t>
            </w:r>
          </w:p>
          <w:p w14:paraId="243F2920" w14:textId="6135BF04" w:rsidR="00745ACB" w:rsidRPr="00021F7C" w:rsidRDefault="00530518" w:rsidP="007610E9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021F7C">
              <w:t xml:space="preserve">Тип ярмарки </w:t>
            </w:r>
            <w:r w:rsidR="00745ACB">
              <w:t>-</w:t>
            </w:r>
            <w:r w:rsidR="004F3664">
              <w:t xml:space="preserve"> тематическая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9885E" w14:textId="77777777" w:rsidR="00530518" w:rsidRPr="00021F7C" w:rsidRDefault="00530518" w:rsidP="009568E9">
            <w:pPr>
              <w:pStyle w:val="20"/>
              <w:shd w:val="clear" w:color="auto" w:fill="auto"/>
              <w:spacing w:after="0" w:line="240" w:lineRule="auto"/>
            </w:pPr>
            <w:r w:rsidRPr="00021F7C">
              <w:t>удовлетворительное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4C86" w14:textId="786322CE" w:rsidR="00530518" w:rsidRPr="00021F7C" w:rsidRDefault="00530518" w:rsidP="00426AB1">
            <w:pPr>
              <w:pStyle w:val="20"/>
              <w:shd w:val="clear" w:color="auto" w:fill="auto"/>
              <w:spacing w:after="0" w:line="240" w:lineRule="auto"/>
            </w:pPr>
            <w:r w:rsidRPr="00021F7C">
              <w:t>60 мес.</w:t>
            </w:r>
          </w:p>
        </w:tc>
      </w:tr>
    </w:tbl>
    <w:p w14:paraId="6A53946E" w14:textId="77777777" w:rsidR="00021F7C" w:rsidRDefault="00021F7C" w:rsidP="00B4491B">
      <w:pPr>
        <w:spacing w:after="0" w:line="240" w:lineRule="auto"/>
        <w:jc w:val="center"/>
        <w:rPr>
          <w:rStyle w:val="a3"/>
          <w:rFonts w:eastAsiaTheme="minorHAnsi"/>
          <w:bCs w:val="0"/>
          <w:color w:val="auto"/>
          <w:sz w:val="22"/>
          <w:szCs w:val="22"/>
          <w:u w:val="none"/>
        </w:rPr>
      </w:pPr>
    </w:p>
    <w:p w14:paraId="76BA279F" w14:textId="0C81CAF3" w:rsidR="00B4491B" w:rsidRPr="00021F7C" w:rsidRDefault="00F66E71" w:rsidP="00B4491B">
      <w:pPr>
        <w:spacing w:after="0" w:line="240" w:lineRule="auto"/>
        <w:jc w:val="center"/>
        <w:rPr>
          <w:rStyle w:val="a3"/>
          <w:rFonts w:eastAsiaTheme="minorHAnsi"/>
          <w:bCs w:val="0"/>
          <w:color w:val="auto"/>
          <w:sz w:val="22"/>
          <w:szCs w:val="22"/>
          <w:u w:val="none"/>
        </w:rPr>
      </w:pPr>
      <w:r w:rsidRPr="00021F7C">
        <w:rPr>
          <w:rStyle w:val="a3"/>
          <w:rFonts w:eastAsiaTheme="minorHAnsi"/>
          <w:bCs w:val="0"/>
          <w:color w:val="auto"/>
          <w:sz w:val="22"/>
          <w:szCs w:val="22"/>
          <w:u w:val="none"/>
        </w:rPr>
        <w:t>3. </w:t>
      </w:r>
      <w:r w:rsidRPr="00021F7C">
        <w:rPr>
          <w:rFonts w:ascii="Times New Roman" w:hAnsi="Times New Roman" w:cs="Times New Roman"/>
          <w:b/>
          <w:color w:val="000000"/>
          <w:lang w:eastAsia="ru-RU" w:bidi="ru-RU"/>
        </w:rPr>
        <w:t>Порядок предоставления муниципальной преференции</w:t>
      </w:r>
    </w:p>
    <w:p w14:paraId="2DBC1883" w14:textId="038361A1" w:rsidR="00021F7C" w:rsidRPr="00021F7C" w:rsidRDefault="00021F7C" w:rsidP="00021F7C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21F7C">
        <w:rPr>
          <w:rFonts w:ascii="Times New Roman" w:hAnsi="Times New Roman"/>
        </w:rPr>
        <w:t>Комиссия рассматривает заявки и принимает решение не позднее 15 (пятнадцати) рабочих дней со дня поступления документов. Решение Комиссии оформляется протоколом.</w:t>
      </w:r>
      <w:r>
        <w:rPr>
          <w:rFonts w:ascii="Times New Roman" w:hAnsi="Times New Roman"/>
        </w:rPr>
        <w:t xml:space="preserve"> </w:t>
      </w:r>
      <w:r w:rsidRPr="00021F7C">
        <w:rPr>
          <w:rFonts w:ascii="Times New Roman" w:hAnsi="Times New Roman"/>
        </w:rPr>
        <w:t>Субъект СМП извещается о принятом по его заявлению решении в течение 5 (пяти) рабочих дней со дня подписания протокола.</w:t>
      </w:r>
      <w:r>
        <w:rPr>
          <w:rFonts w:ascii="Times New Roman" w:hAnsi="Times New Roman"/>
        </w:rPr>
        <w:t xml:space="preserve"> </w:t>
      </w:r>
      <w:r w:rsidRPr="00021F7C">
        <w:rPr>
          <w:rFonts w:ascii="Times New Roman" w:hAnsi="Times New Roman"/>
        </w:rPr>
        <w:t>Место для организации ярмарки предоставляется на основании договора на право организации ярмарки без проведения торгов на льготных условиях, заключенного между Администрацией и субъектом МСП.</w:t>
      </w:r>
    </w:p>
    <w:p w14:paraId="0B5788A3" w14:textId="77777777" w:rsidR="00353153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6B6CF8">
        <w:rPr>
          <w:rFonts w:ascii="Times New Roman" w:hAnsi="Times New Roman"/>
        </w:rPr>
        <w:lastRenderedPageBreak/>
        <w:t>В случае если одновременно поступает несколько заявок на предоставление муниципальной преференции на одно и то же испрашиваемое место организации ярмарки от нескольких субъектов МСП, то преференция не предо</w:t>
      </w:r>
      <w:r>
        <w:rPr>
          <w:rFonts w:ascii="Times New Roman" w:hAnsi="Times New Roman"/>
        </w:rPr>
        <w:t xml:space="preserve">ставляется, и проводятся торги в соответствии с </w:t>
      </w:r>
      <w:r w:rsidRPr="007F78B8">
        <w:rPr>
          <w:rFonts w:ascii="Times New Roman" w:hAnsi="Times New Roman"/>
        </w:rPr>
        <w:t>постановлением</w:t>
      </w:r>
      <w:r w:rsidRPr="007F78B8">
        <w:t xml:space="preserve"> </w:t>
      </w:r>
      <w:r>
        <w:rPr>
          <w:rFonts w:ascii="Times New Roman" w:hAnsi="Times New Roman"/>
        </w:rPr>
        <w:t>Правительства М</w:t>
      </w:r>
      <w:r w:rsidRPr="007F78B8">
        <w:rPr>
          <w:rFonts w:ascii="Times New Roman" w:hAnsi="Times New Roman"/>
        </w:rPr>
        <w:t>осковской области</w:t>
      </w:r>
      <w:r>
        <w:rPr>
          <w:rFonts w:ascii="Times New Roman" w:hAnsi="Times New Roman"/>
        </w:rPr>
        <w:t xml:space="preserve"> от 16.11. 2021 г. № </w:t>
      </w:r>
      <w:r w:rsidRPr="007F78B8">
        <w:rPr>
          <w:rFonts w:ascii="Times New Roman" w:hAnsi="Times New Roman"/>
        </w:rPr>
        <w:t>1170/40</w:t>
      </w:r>
      <w:r>
        <w:rPr>
          <w:rFonts w:ascii="Times New Roman" w:hAnsi="Times New Roman"/>
        </w:rPr>
        <w:t xml:space="preserve"> «О</w:t>
      </w:r>
      <w:r w:rsidRPr="007F78B8">
        <w:rPr>
          <w:rFonts w:ascii="Times New Roman" w:hAnsi="Times New Roman"/>
        </w:rPr>
        <w:t>б утверждении порядка организации ярмарок на территории</w:t>
      </w:r>
      <w:r>
        <w:rPr>
          <w:rFonts w:ascii="Times New Roman" w:hAnsi="Times New Roman"/>
        </w:rPr>
        <w:t xml:space="preserve"> М</w:t>
      </w:r>
      <w:r w:rsidRPr="007F78B8">
        <w:rPr>
          <w:rFonts w:ascii="Times New Roman" w:hAnsi="Times New Roman"/>
        </w:rPr>
        <w:t>осковской области и продажи товаров (выполнения работ,</w:t>
      </w:r>
      <w:r>
        <w:rPr>
          <w:rFonts w:ascii="Times New Roman" w:hAnsi="Times New Roman"/>
        </w:rPr>
        <w:t xml:space="preserve"> </w:t>
      </w:r>
      <w:r w:rsidRPr="007F78B8">
        <w:rPr>
          <w:rFonts w:ascii="Times New Roman" w:hAnsi="Times New Roman"/>
        </w:rPr>
        <w:t>оказания услуг) на них</w:t>
      </w:r>
      <w:r>
        <w:rPr>
          <w:rFonts w:ascii="Times New Roman" w:hAnsi="Times New Roman"/>
        </w:rPr>
        <w:t>».</w:t>
      </w:r>
    </w:p>
    <w:p w14:paraId="1842796C" w14:textId="77777777" w:rsidR="00C27E49" w:rsidRPr="006B6CF8" w:rsidRDefault="00C27E49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14:paraId="2486A6A8" w14:textId="77777777" w:rsidR="00C1221F" w:rsidRPr="00021F7C" w:rsidRDefault="00F66E71" w:rsidP="00C1221F">
      <w:pPr>
        <w:spacing w:after="0" w:line="240" w:lineRule="auto"/>
        <w:jc w:val="center"/>
        <w:rPr>
          <w:rFonts w:ascii="Times New Roman" w:hAnsi="Times New Roman" w:cs="Times New Roman"/>
          <w:b/>
          <w:lang w:eastAsia="ru-RU" w:bidi="ru-RU"/>
        </w:rPr>
      </w:pPr>
      <w:bookmarkStart w:id="1" w:name="bookmark0"/>
      <w:r w:rsidRPr="00021F7C">
        <w:rPr>
          <w:rFonts w:ascii="Times New Roman" w:hAnsi="Times New Roman" w:cs="Times New Roman"/>
          <w:b/>
          <w:lang w:eastAsia="ru-RU" w:bidi="ru-RU"/>
        </w:rPr>
        <w:t xml:space="preserve">4. Порядок, место, дата начала, дата и время окончания срока </w:t>
      </w:r>
    </w:p>
    <w:p w14:paraId="0AC75C1B" w14:textId="75511E4D" w:rsidR="00C1221F" w:rsidRPr="00745ACB" w:rsidRDefault="00F66E71" w:rsidP="00745A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1F7C">
        <w:rPr>
          <w:rFonts w:ascii="Times New Roman" w:hAnsi="Times New Roman" w:cs="Times New Roman"/>
          <w:b/>
          <w:lang w:eastAsia="ru-RU" w:bidi="ru-RU"/>
        </w:rPr>
        <w:t xml:space="preserve">подачи заявлений на предоставление </w:t>
      </w:r>
      <w:bookmarkEnd w:id="1"/>
      <w:r w:rsidR="00745ACB">
        <w:rPr>
          <w:rFonts w:ascii="Times New Roman" w:hAnsi="Times New Roman" w:cs="Times New Roman"/>
          <w:b/>
          <w:lang w:eastAsia="ru-RU" w:bidi="ru-RU"/>
        </w:rPr>
        <w:t>муниципальной преференции</w:t>
      </w:r>
    </w:p>
    <w:p w14:paraId="38ABDF67" w14:textId="4FF34BB7" w:rsidR="00197C6C" w:rsidRPr="004C3B68" w:rsidRDefault="00745ACB" w:rsidP="004C3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5ACB">
        <w:rPr>
          <w:rFonts w:ascii="Times New Roman" w:hAnsi="Times New Roman" w:cs="Times New Roman"/>
          <w:lang w:eastAsia="ru-RU" w:bidi="ru-RU"/>
        </w:rPr>
        <w:t xml:space="preserve">Заявления на предоставление </w:t>
      </w:r>
      <w:r>
        <w:rPr>
          <w:rFonts w:ascii="Times New Roman" w:hAnsi="Times New Roman" w:cs="Times New Roman"/>
          <w:lang w:eastAsia="ru-RU" w:bidi="ru-RU"/>
        </w:rPr>
        <w:t xml:space="preserve">муниципальной преференции </w:t>
      </w:r>
      <w:r w:rsidRPr="00745ACB">
        <w:rPr>
          <w:rFonts w:ascii="Times New Roman" w:hAnsi="Times New Roman" w:cs="Times New Roman"/>
          <w:lang w:eastAsia="ru-RU" w:bidi="ru-RU"/>
        </w:rPr>
        <w:t xml:space="preserve">подаются в </w:t>
      </w:r>
      <w:r w:rsidRPr="00021F7C">
        <w:rPr>
          <w:rFonts w:ascii="Times New Roman" w:hAnsi="Times New Roman" w:cs="Times New Roman"/>
          <w:lang w:eastAsia="ru-RU" w:bidi="ru-RU"/>
        </w:rPr>
        <w:t>Администрацию городского округа Электросталь Московской области</w:t>
      </w:r>
      <w:r>
        <w:rPr>
          <w:rFonts w:ascii="Times New Roman" w:hAnsi="Times New Roman" w:cs="Times New Roman"/>
          <w:lang w:eastAsia="ru-RU" w:bidi="ru-RU"/>
        </w:rPr>
        <w:t>, п</w:t>
      </w:r>
      <w:r w:rsidRPr="00745ACB">
        <w:rPr>
          <w:rFonts w:ascii="Times New Roman" w:hAnsi="Times New Roman" w:cs="Times New Roman"/>
          <w:lang w:eastAsia="ru-RU" w:bidi="ru-RU"/>
        </w:rPr>
        <w:t xml:space="preserve">оследний день принятия заявлений </w:t>
      </w:r>
      <w:r w:rsidR="008A57D1">
        <w:rPr>
          <w:rFonts w:ascii="Times New Roman" w:hAnsi="Times New Roman" w:cs="Times New Roman"/>
          <w:lang w:eastAsia="ru-RU" w:bidi="ru-RU"/>
        </w:rPr>
        <w:t>10</w:t>
      </w:r>
      <w:r>
        <w:rPr>
          <w:rFonts w:ascii="Times New Roman" w:hAnsi="Times New Roman" w:cs="Times New Roman"/>
          <w:lang w:eastAsia="ru-RU" w:bidi="ru-RU"/>
        </w:rPr>
        <w:t>.</w:t>
      </w:r>
      <w:r w:rsidR="008A57D1">
        <w:rPr>
          <w:rFonts w:ascii="Times New Roman" w:hAnsi="Times New Roman" w:cs="Times New Roman"/>
          <w:lang w:eastAsia="ru-RU" w:bidi="ru-RU"/>
        </w:rPr>
        <w:t>01</w:t>
      </w:r>
      <w:r>
        <w:rPr>
          <w:rFonts w:ascii="Times New Roman" w:hAnsi="Times New Roman" w:cs="Times New Roman"/>
          <w:lang w:eastAsia="ru-RU" w:bidi="ru-RU"/>
        </w:rPr>
        <w:t>.2025</w:t>
      </w:r>
      <w:r w:rsidRPr="00745ACB">
        <w:rPr>
          <w:rFonts w:ascii="Times New Roman" w:hAnsi="Times New Roman" w:cs="Times New Roman"/>
          <w:lang w:eastAsia="ru-RU" w:bidi="ru-RU"/>
        </w:rPr>
        <w:t xml:space="preserve"> (до 17:00 час.). </w:t>
      </w:r>
      <w:r w:rsidR="008E22AB" w:rsidRPr="00021F7C">
        <w:rPr>
          <w:rFonts w:ascii="Times New Roman" w:hAnsi="Times New Roman" w:cs="Times New Roman"/>
          <w:lang w:eastAsia="ru-RU" w:bidi="ru-RU"/>
        </w:rPr>
        <w:t>Способ подачи заявления</w:t>
      </w:r>
      <w:r w:rsidR="00197C6C" w:rsidRPr="00021F7C">
        <w:rPr>
          <w:rFonts w:ascii="Times New Roman" w:hAnsi="Times New Roman" w:cs="Times New Roman"/>
          <w:lang w:eastAsia="ru-RU" w:bidi="ru-RU"/>
        </w:rPr>
        <w:t>:</w:t>
      </w:r>
      <w:r w:rsidR="004C3B68">
        <w:rPr>
          <w:rFonts w:ascii="Times New Roman" w:hAnsi="Times New Roman" w:cs="Times New Roman"/>
          <w:lang w:eastAsia="ru-RU" w:bidi="ru-RU"/>
        </w:rPr>
        <w:t xml:space="preserve"> </w:t>
      </w:r>
      <w:r w:rsidR="00197C6C" w:rsidRPr="004C3B68">
        <w:rPr>
          <w:rFonts w:ascii="Times New Roman" w:hAnsi="Times New Roman" w:cs="Times New Roman"/>
        </w:rPr>
        <w:t>на бумажном носителе лично</w:t>
      </w:r>
      <w:r w:rsidR="004C3B68" w:rsidRPr="004C3B68">
        <w:rPr>
          <w:rFonts w:ascii="Times New Roman" w:hAnsi="Times New Roman" w:cs="Times New Roman"/>
        </w:rPr>
        <w:t>.</w:t>
      </w:r>
    </w:p>
    <w:p w14:paraId="7D604B5B" w14:textId="77777777" w:rsidR="004C3B68" w:rsidRDefault="004C3B68" w:rsidP="008A0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2" w:name="bookmark1"/>
    </w:p>
    <w:p w14:paraId="7EBC34B0" w14:textId="7237E974" w:rsidR="00F66E71" w:rsidRPr="004C3B68" w:rsidRDefault="00F66E71" w:rsidP="008A0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3B68">
        <w:rPr>
          <w:rFonts w:ascii="Times New Roman" w:hAnsi="Times New Roman" w:cs="Times New Roman"/>
          <w:b/>
          <w:lang w:eastAsia="ru-RU" w:bidi="ru-RU"/>
        </w:rPr>
        <w:t xml:space="preserve">5. Срок, в течение которого заключается договор </w:t>
      </w:r>
      <w:bookmarkEnd w:id="2"/>
    </w:p>
    <w:p w14:paraId="0D9B6F5A" w14:textId="59267C9C" w:rsidR="00F66E71" w:rsidRPr="004C3B68" w:rsidRDefault="00D645F9" w:rsidP="008A072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 w:bidi="ru-RU"/>
        </w:rPr>
      </w:pPr>
      <w:r w:rsidRPr="00D645F9">
        <w:rPr>
          <w:rFonts w:ascii="Times New Roman" w:hAnsi="Times New Roman"/>
        </w:rPr>
        <w:t>Субъект МСП извещается о принятом по его заявлению решении в течение 5 (пяти) рабочих дней со дня подписания протокола.</w:t>
      </w:r>
    </w:p>
    <w:p w14:paraId="1F0B9216" w14:textId="77777777" w:rsidR="00C1221F" w:rsidRDefault="00C1221F" w:rsidP="00C12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656AA" w14:textId="4CABE6C1" w:rsidR="00F66E71" w:rsidRPr="008A57D1" w:rsidRDefault="00F66E71" w:rsidP="008A072C">
      <w:pPr>
        <w:spacing w:after="0" w:line="240" w:lineRule="auto"/>
        <w:jc w:val="center"/>
        <w:rPr>
          <w:rStyle w:val="30"/>
          <w:rFonts w:eastAsiaTheme="minorHAnsi"/>
          <w:sz w:val="22"/>
          <w:szCs w:val="22"/>
          <w:u w:val="none"/>
        </w:rPr>
      </w:pPr>
      <w:r w:rsidRPr="008A57D1">
        <w:rPr>
          <w:rStyle w:val="30"/>
          <w:rFonts w:eastAsiaTheme="minorHAnsi"/>
          <w:sz w:val="22"/>
          <w:szCs w:val="22"/>
          <w:u w:val="none"/>
        </w:rPr>
        <w:t xml:space="preserve">6. </w:t>
      </w:r>
      <w:r w:rsidR="00C21A95" w:rsidRPr="008A57D1">
        <w:rPr>
          <w:rStyle w:val="30"/>
          <w:rFonts w:eastAsiaTheme="minorHAnsi"/>
          <w:sz w:val="22"/>
          <w:szCs w:val="22"/>
          <w:u w:val="none"/>
        </w:rPr>
        <w:t>Перечень необходимых документов</w:t>
      </w:r>
    </w:p>
    <w:p w14:paraId="0534DB73" w14:textId="4E36D73F" w:rsidR="00353153" w:rsidRPr="008A57D1" w:rsidRDefault="00353153" w:rsidP="003531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A57D1">
        <w:rPr>
          <w:rFonts w:ascii="Times New Roman" w:hAnsi="Times New Roman"/>
        </w:rPr>
        <w:t>Для получения муниципальной преференции субъект МСП предоставляет заявление на получение муниципальной преференции, по форме согласно Приложению 2 к настоящему Порядку с приложением следующих документов:</w:t>
      </w:r>
    </w:p>
    <w:p w14:paraId="57D38200" w14:textId="411BB7C2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Для юридических лиц:</w:t>
      </w:r>
    </w:p>
    <w:p w14:paraId="682F0ED1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копию свидетельства о государственной регистрации юридического лица;</w:t>
      </w:r>
    </w:p>
    <w:p w14:paraId="70585971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копию свидетельства о постановке на учет в налоговом органе Московской области юридического лица;</w:t>
      </w:r>
    </w:p>
    <w:p w14:paraId="086C2503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выписку из ЕГРЮЛ (подлинник или заверенная копия);</w:t>
      </w:r>
    </w:p>
    <w:p w14:paraId="37D4995D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нотариально заверенные копии уставных и учредительных документов;</w:t>
      </w:r>
    </w:p>
    <w:p w14:paraId="720C643E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14:paraId="606E8819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14:paraId="0B67FE61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14:paraId="2F9673CE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39E571E4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14:paraId="324EF951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14:paraId="1ABF68D4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 в соответствии со ст. 9 Федерального закона «О защите конкуренции»;</w:t>
      </w:r>
    </w:p>
    <w:p w14:paraId="3C253CAC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</w:pPr>
      <w:r w:rsidRPr="008A57D1">
        <w:rPr>
          <w:rFonts w:ascii="Times New Roman" w:hAnsi="Times New Roman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  <w:r w:rsidRPr="008A57D1">
        <w:t xml:space="preserve"> </w:t>
      </w:r>
    </w:p>
    <w:p w14:paraId="7B955A0A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 xml:space="preserve">- документы, подтверждающие информацию о средней численности работников, включая </w:t>
      </w:r>
      <w:r w:rsidRPr="008A57D1">
        <w:rPr>
          <w:rFonts w:ascii="Times New Roman" w:hAnsi="Times New Roman"/>
        </w:rPr>
        <w:lastRenderedPageBreak/>
        <w:t>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14:paraId="2BAC1D62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пояснительную записку о предполагаемом использовании места организации ярмарки.</w:t>
      </w:r>
    </w:p>
    <w:p w14:paraId="04EFF3E0" w14:textId="28EC6E0B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Для индивидуальных предпринимателей:</w:t>
      </w:r>
    </w:p>
    <w:p w14:paraId="046B7F7E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 xml:space="preserve">- копия паспорта гражданина РФ (1-й лист и лист с отметкой о регистрации по месту проживания); </w:t>
      </w:r>
    </w:p>
    <w:p w14:paraId="2B06B135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14:paraId="3AC90D14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выписка из единого государственного реестра индивидуальных предпринимателей;</w:t>
      </w:r>
    </w:p>
    <w:p w14:paraId="4E079567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копия документов, предусмотренных системой налогообложения, учета и отчетности для субъектов МСП;</w:t>
      </w:r>
    </w:p>
    <w:p w14:paraId="13FB61CB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копию баланса за последний отчетный период текущего года субъекта МСП или копию налоговой декларации за последний отчетный период текущего года субъект МСП (для индивидуальных предпринимателей, а также организаций, применяющих упрощенную систему налогообложения);</w:t>
      </w:r>
    </w:p>
    <w:p w14:paraId="2DE36643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07D6F70E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14:paraId="5CD077FA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 в соответствии со ст. 9 Федерального закона «О защите конкуренции»;</w:t>
      </w:r>
    </w:p>
    <w:p w14:paraId="44978BE2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14:paraId="04DE43AF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14:paraId="5DD7373C" w14:textId="77777777" w:rsidR="00353153" w:rsidRPr="008A57D1" w:rsidRDefault="00353153" w:rsidP="00353153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/>
        </w:rPr>
        <w:t>- пояснительную записку о предполагаемом использовании места организации ярмарки.</w:t>
      </w:r>
    </w:p>
    <w:p w14:paraId="2D7783D0" w14:textId="77777777" w:rsidR="008A072C" w:rsidRPr="008A57D1" w:rsidRDefault="008A072C" w:rsidP="00C122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3AA77B" w14:textId="749EAB1E" w:rsidR="00353153" w:rsidRDefault="00F66E71" w:rsidP="008A072C">
      <w:pPr>
        <w:spacing w:after="0" w:line="240" w:lineRule="auto"/>
        <w:jc w:val="center"/>
        <w:rPr>
          <w:rFonts w:ascii="Times New Roman" w:hAnsi="Times New Roman" w:cs="Times New Roman"/>
          <w:b/>
          <w:lang w:eastAsia="ru-RU" w:bidi="ru-RU"/>
        </w:rPr>
      </w:pPr>
      <w:bookmarkStart w:id="3" w:name="bookmark2"/>
      <w:r w:rsidRPr="00C21A95">
        <w:rPr>
          <w:rFonts w:ascii="Times New Roman" w:hAnsi="Times New Roman" w:cs="Times New Roman"/>
          <w:b/>
          <w:lang w:eastAsia="ru-RU" w:bidi="ru-RU"/>
        </w:rPr>
        <w:t xml:space="preserve">7. </w:t>
      </w:r>
      <w:r w:rsidR="008A57D1">
        <w:rPr>
          <w:rFonts w:ascii="Times New Roman" w:hAnsi="Times New Roman" w:cs="Times New Roman"/>
          <w:b/>
          <w:lang w:eastAsia="ru-RU" w:bidi="ru-RU"/>
        </w:rPr>
        <w:t>У</w:t>
      </w:r>
      <w:r w:rsidR="00353153">
        <w:rPr>
          <w:rFonts w:ascii="Times New Roman" w:hAnsi="Times New Roman" w:cs="Times New Roman"/>
          <w:b/>
          <w:lang w:eastAsia="ru-RU" w:bidi="ru-RU"/>
        </w:rPr>
        <w:t>словия предоставления муниципальной преференции</w:t>
      </w:r>
    </w:p>
    <w:p w14:paraId="6AD79397" w14:textId="77777777" w:rsidR="00353153" w:rsidRPr="0077643A" w:rsidRDefault="00353153" w:rsidP="003531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>Критериями предоставления муниципальной преференции являются:</w:t>
      </w:r>
    </w:p>
    <w:p w14:paraId="6B45F792" w14:textId="114673E4" w:rsidR="00353153" w:rsidRPr="0077643A" w:rsidRDefault="00353153" w:rsidP="003531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7643A">
        <w:rPr>
          <w:rFonts w:ascii="Times New Roman" w:hAnsi="Times New Roman" w:cs="Times New Roman"/>
        </w:rPr>
        <w:t>регистрация субъекта МСП и осуществление деятельности в установленном законодательством Российской Федерации порядке, а также субъект МСП должен состоять в Едином реестре субъектов малого и среднего предпринимательства;</w:t>
      </w:r>
    </w:p>
    <w:p w14:paraId="763795A5" w14:textId="56D8A7C7" w:rsidR="00353153" w:rsidRPr="008A57D1" w:rsidRDefault="00353153" w:rsidP="003531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C4AB1">
        <w:rPr>
          <w:rFonts w:ascii="Times New Roman" w:hAnsi="Times New Roman" w:cs="Times New Roman"/>
        </w:rPr>
        <w:t xml:space="preserve">отсутствие у </w:t>
      </w:r>
      <w:r w:rsidRPr="0077643A">
        <w:rPr>
          <w:rFonts w:ascii="Times New Roman" w:hAnsi="Times New Roman" w:cs="Times New Roman"/>
        </w:rPr>
        <w:t>субъекта МСП на первое числ</w:t>
      </w:r>
      <w:r>
        <w:rPr>
          <w:rFonts w:ascii="Times New Roman" w:hAnsi="Times New Roman" w:cs="Times New Roman"/>
        </w:rPr>
        <w:t>о месяца на дату поступления в А</w:t>
      </w:r>
      <w:r w:rsidRPr="0077643A">
        <w:rPr>
          <w:rFonts w:ascii="Times New Roman" w:hAnsi="Times New Roman" w:cs="Times New Roman"/>
        </w:rPr>
        <w:t xml:space="preserve">дминистрацию запроса о предоставлении муниципальной </w:t>
      </w:r>
      <w:r>
        <w:rPr>
          <w:rFonts w:ascii="Times New Roman" w:hAnsi="Times New Roman" w:cs="Times New Roman"/>
        </w:rPr>
        <w:t>преференции</w:t>
      </w:r>
      <w:r w:rsidRPr="009C4AB1">
        <w:rPr>
          <w:rFonts w:ascii="Times New Roman" w:hAnsi="Times New Roman" w:cs="Times New Roman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</w:t>
      </w:r>
      <w:r w:rsidRPr="008A57D1">
        <w:rPr>
          <w:rFonts w:ascii="Times New Roman" w:hAnsi="Times New Roman" w:cs="Times New Roman"/>
        </w:rPr>
        <w:t>на которые предоставлены отсрочка, рассрочка, инвестиционный налоговый кредит в соответствии с </w:t>
      </w:r>
      <w:hyperlink r:id="rId7" w:anchor="dst1123" w:history="1">
        <w:r w:rsidRPr="008A57D1">
          <w:rPr>
            <w:rStyle w:val="ab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Pr="008A57D1">
        <w:rPr>
          <w:rFonts w:ascii="Times New Roman" w:hAnsi="Times New Roman" w:cs="Times New Roman"/>
        </w:rPr>
        <w:t>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 </w:t>
      </w:r>
      <w:hyperlink r:id="rId8" w:anchor="dst1104" w:history="1">
        <w:r w:rsidRPr="008A57D1">
          <w:rPr>
            <w:rStyle w:val="ab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Pr="008A57D1">
        <w:rPr>
          <w:rFonts w:ascii="Times New Roman" w:hAnsi="Times New Roman" w:cs="Times New Roman"/>
        </w:rPr>
        <w:t> Российской Федерации о налогах и сборах), размер которых превышает двадцать пять процентов балансовой стоимости активов субъекта МСП, по данным бухгалтерской отчетности за последний отчетный период. Субъект МСП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преференции не принято;</w:t>
      </w:r>
    </w:p>
    <w:p w14:paraId="4D74D3A7" w14:textId="50A94EBD" w:rsidR="00353153" w:rsidRPr="008A57D1" w:rsidRDefault="00353153" w:rsidP="003531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A57D1">
        <w:rPr>
          <w:rFonts w:ascii="Times New Roman" w:hAnsi="Times New Roman" w:cs="Times New Roman"/>
        </w:rPr>
        <w:t>отсутствие у субъекта МСП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субъекта МСП судимости за преступления в сфере экономики и (или) преступления, предусмотренные </w:t>
      </w:r>
      <w:hyperlink r:id="rId9" w:anchor="dst101897" w:history="1">
        <w:r w:rsidRPr="008A57D1">
          <w:rPr>
            <w:rStyle w:val="ab"/>
            <w:rFonts w:ascii="Times New Roman" w:hAnsi="Times New Roman" w:cs="Times New Roman"/>
            <w:color w:val="auto"/>
            <w:u w:val="none"/>
          </w:rPr>
          <w:t>статьями 289</w:t>
        </w:r>
      </w:hyperlink>
      <w:r w:rsidRPr="008A57D1">
        <w:rPr>
          <w:rFonts w:ascii="Times New Roman" w:hAnsi="Times New Roman" w:cs="Times New Roman"/>
        </w:rPr>
        <w:t>, </w:t>
      </w:r>
      <w:hyperlink r:id="rId10" w:anchor="dst2054" w:history="1">
        <w:r w:rsidRPr="008A57D1">
          <w:rPr>
            <w:rStyle w:val="ab"/>
            <w:rFonts w:ascii="Times New Roman" w:hAnsi="Times New Roman" w:cs="Times New Roman"/>
            <w:color w:val="auto"/>
            <w:u w:val="none"/>
          </w:rPr>
          <w:t>290</w:t>
        </w:r>
      </w:hyperlink>
      <w:r w:rsidRPr="008A57D1">
        <w:rPr>
          <w:rFonts w:ascii="Times New Roman" w:hAnsi="Times New Roman" w:cs="Times New Roman"/>
        </w:rPr>
        <w:t>, </w:t>
      </w:r>
      <w:hyperlink r:id="rId11" w:anchor="dst2072" w:history="1">
        <w:r w:rsidRPr="008A57D1">
          <w:rPr>
            <w:rStyle w:val="ab"/>
            <w:rFonts w:ascii="Times New Roman" w:hAnsi="Times New Roman" w:cs="Times New Roman"/>
            <w:color w:val="auto"/>
            <w:u w:val="none"/>
          </w:rPr>
          <w:t>291</w:t>
        </w:r>
      </w:hyperlink>
      <w:r w:rsidRPr="008A57D1">
        <w:rPr>
          <w:rFonts w:ascii="Times New Roman" w:hAnsi="Times New Roman" w:cs="Times New Roman"/>
        </w:rPr>
        <w:t>, </w:t>
      </w:r>
      <w:hyperlink r:id="rId12" w:anchor="dst2086" w:history="1">
        <w:r w:rsidRPr="008A57D1">
          <w:rPr>
            <w:rStyle w:val="ab"/>
            <w:rFonts w:ascii="Times New Roman" w:hAnsi="Times New Roman" w:cs="Times New Roman"/>
            <w:color w:val="auto"/>
            <w:u w:val="none"/>
          </w:rPr>
          <w:t>291.1</w:t>
        </w:r>
      </w:hyperlink>
      <w:r w:rsidRPr="008A57D1">
        <w:rPr>
          <w:rFonts w:ascii="Times New Roman" w:hAnsi="Times New Roman" w:cs="Times New Roman"/>
        </w:rPr>
        <w:t xml:space="preserve"> Уголовного </w:t>
      </w:r>
      <w:r w:rsidRPr="009C4AB1">
        <w:rPr>
          <w:rFonts w:ascii="Times New Roman" w:hAnsi="Times New Roman" w:cs="Times New Roman"/>
        </w:rPr>
        <w:t xml:space="preserve">кодекса Российской </w:t>
      </w:r>
      <w:r w:rsidRPr="009C4AB1">
        <w:rPr>
          <w:rFonts w:ascii="Times New Roman" w:hAnsi="Times New Roman" w:cs="Times New Roman"/>
        </w:rPr>
        <w:lastRenderedPageBreak/>
        <w:t xml:space="preserve">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</w:t>
      </w:r>
      <w:r w:rsidRPr="008A57D1">
        <w:rPr>
          <w:rFonts w:ascii="Times New Roman" w:hAnsi="Times New Roman" w:cs="Times New Roman"/>
        </w:rPr>
        <w:t>дисквалификации;</w:t>
      </w:r>
    </w:p>
    <w:p w14:paraId="15E87920" w14:textId="0A3E9383" w:rsidR="00353153" w:rsidRPr="008A57D1" w:rsidRDefault="00353153" w:rsidP="003531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A57D1">
        <w:rPr>
          <w:rFonts w:ascii="Times New Roman" w:hAnsi="Times New Roman" w:cs="Times New Roman"/>
        </w:rPr>
        <w:t>не проведение ликвидации субъекта МСП - юридического лица и отсутствие решения арбитражного суда о признании субъекта МСП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127B70BB" w14:textId="1DADBCD1" w:rsidR="00353153" w:rsidRPr="008A57D1" w:rsidRDefault="00353153" w:rsidP="003531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A57D1">
        <w:rPr>
          <w:rFonts w:ascii="Times New Roman" w:hAnsi="Times New Roman" w:cs="Times New Roman"/>
        </w:rPr>
        <w:t>не приостановление деятельности субъекта МСП в порядке, установленном </w:t>
      </w:r>
      <w:hyperlink r:id="rId13" w:anchor="dst512" w:history="1">
        <w:r w:rsidRPr="008A57D1">
          <w:rPr>
            <w:rStyle w:val="ab"/>
            <w:rFonts w:ascii="Times New Roman" w:hAnsi="Times New Roman" w:cs="Times New Roman"/>
            <w:color w:val="auto"/>
            <w:u w:val="none"/>
          </w:rPr>
          <w:t>Кодексом</w:t>
        </w:r>
      </w:hyperlink>
      <w:r w:rsidRPr="008A57D1">
        <w:rPr>
          <w:rFonts w:ascii="Times New Roman" w:hAnsi="Times New Roman" w:cs="Times New Roman"/>
        </w:rPr>
        <w:t> Российской Федерации об административных правонарушениях;</w:t>
      </w:r>
    </w:p>
    <w:p w14:paraId="24A080F0" w14:textId="2D31688E" w:rsidR="00353153" w:rsidRDefault="00353153" w:rsidP="00353153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A57D1">
        <w:rPr>
          <w:rFonts w:ascii="Times New Roman" w:hAnsi="Times New Roman" w:cs="Times New Roman"/>
        </w:rPr>
        <w:t xml:space="preserve">субъект МСП </w:t>
      </w:r>
      <w:r w:rsidRPr="00ED4BFF">
        <w:rPr>
          <w:rFonts w:ascii="Times New Roman" w:hAnsi="Times New Roman" w:cs="Times New Roman"/>
        </w:rPr>
        <w:t xml:space="preserve">должен </w:t>
      </w:r>
      <w:r w:rsidRPr="00ED4BFF">
        <w:rPr>
          <w:rFonts w:ascii="Times New Roman" w:hAnsi="Times New Roman"/>
        </w:rPr>
        <w:t>состоять на налоговом учете в налоговых органах</w:t>
      </w:r>
      <w:r>
        <w:rPr>
          <w:rFonts w:ascii="Times New Roman" w:hAnsi="Times New Roman"/>
        </w:rPr>
        <w:t xml:space="preserve"> Московской области.</w:t>
      </w:r>
    </w:p>
    <w:p w14:paraId="75D0EB16" w14:textId="77777777" w:rsidR="00353153" w:rsidRDefault="00353153" w:rsidP="00353153">
      <w:pPr>
        <w:spacing w:after="0" w:line="240" w:lineRule="auto"/>
        <w:jc w:val="both"/>
        <w:rPr>
          <w:rFonts w:ascii="Times New Roman" w:hAnsi="Times New Roman" w:cs="Times New Roman"/>
          <w:b/>
          <w:lang w:eastAsia="ru-RU" w:bidi="ru-RU"/>
        </w:rPr>
      </w:pPr>
    </w:p>
    <w:p w14:paraId="6E8BEFB6" w14:textId="061781EE" w:rsidR="00F66E71" w:rsidRPr="00C21A95" w:rsidRDefault="00353153" w:rsidP="008A07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ru-RU" w:bidi="ru-RU"/>
        </w:rPr>
        <w:t>8.</w:t>
      </w:r>
      <w:r w:rsidR="008A57D1">
        <w:rPr>
          <w:rFonts w:ascii="Times New Roman" w:hAnsi="Times New Roman" w:cs="Times New Roman"/>
          <w:b/>
          <w:lang w:eastAsia="ru-RU" w:bidi="ru-RU"/>
        </w:rPr>
        <w:t xml:space="preserve"> </w:t>
      </w:r>
      <w:r w:rsidR="00C21A95" w:rsidRPr="00C21A95">
        <w:rPr>
          <w:rFonts w:ascii="Times New Roman" w:hAnsi="Times New Roman" w:cs="Times New Roman"/>
          <w:b/>
          <w:lang w:eastAsia="ru-RU" w:bidi="ru-RU"/>
        </w:rPr>
        <w:t>Р</w:t>
      </w:r>
      <w:r w:rsidR="00C21A95" w:rsidRPr="00C21A95">
        <w:rPr>
          <w:rFonts w:ascii="Times New Roman" w:hAnsi="Times New Roman" w:cs="Times New Roman"/>
          <w:b/>
        </w:rPr>
        <w:t xml:space="preserve">азмер годовой платы </w:t>
      </w:r>
      <w:r w:rsidR="00C21A95" w:rsidRPr="00C21A95">
        <w:rPr>
          <w:rFonts w:ascii="Times New Roman" w:hAnsi="Times New Roman" w:cs="Times New Roman"/>
          <w:b/>
          <w:lang w:eastAsia="ru-RU" w:bidi="ru-RU"/>
        </w:rPr>
        <w:t>и п</w:t>
      </w:r>
      <w:r w:rsidR="00F66E71" w:rsidRPr="00C21A95">
        <w:rPr>
          <w:rFonts w:ascii="Times New Roman" w:hAnsi="Times New Roman" w:cs="Times New Roman"/>
          <w:b/>
          <w:lang w:eastAsia="ru-RU" w:bidi="ru-RU"/>
        </w:rPr>
        <w:t>орядок пересмотра цены договора</w:t>
      </w:r>
      <w:bookmarkEnd w:id="3"/>
    </w:p>
    <w:p w14:paraId="6DE16130" w14:textId="0CDF0D5D" w:rsidR="00B21601" w:rsidRPr="00A820D5" w:rsidRDefault="00C21A95" w:rsidP="00A820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77643A">
        <w:rPr>
          <w:rFonts w:ascii="Times New Roman" w:hAnsi="Times New Roman" w:cs="Times New Roman"/>
        </w:rPr>
        <w:t xml:space="preserve">азмер годовой платы за </w:t>
      </w:r>
      <w:r>
        <w:rPr>
          <w:rFonts w:ascii="Times New Roman" w:hAnsi="Times New Roman" w:cs="Times New Roman"/>
        </w:rPr>
        <w:t xml:space="preserve">организацию ярмарки </w:t>
      </w:r>
      <w:r w:rsidRPr="0077643A">
        <w:rPr>
          <w:rFonts w:ascii="Times New Roman" w:hAnsi="Times New Roman" w:cs="Times New Roman"/>
        </w:rPr>
        <w:t xml:space="preserve">без проведения торгов на льготных условиях устанавливается как начальная (минимальная) цена договора за </w:t>
      </w:r>
      <w:r>
        <w:rPr>
          <w:rFonts w:ascii="Times New Roman" w:hAnsi="Times New Roman" w:cs="Times New Roman"/>
        </w:rPr>
        <w:t xml:space="preserve">организацию ярмарки </w:t>
      </w:r>
      <w:r w:rsidRPr="0077643A">
        <w:rPr>
          <w:rFonts w:ascii="Times New Roman" w:hAnsi="Times New Roman" w:cs="Times New Roman"/>
        </w:rPr>
        <w:t>на территории городского округа</w:t>
      </w:r>
      <w:r>
        <w:rPr>
          <w:rFonts w:ascii="Times New Roman" w:hAnsi="Times New Roman" w:cs="Times New Roman"/>
        </w:rPr>
        <w:t xml:space="preserve"> Электросталь</w:t>
      </w:r>
      <w:r w:rsidRPr="0077643A">
        <w:rPr>
          <w:rFonts w:ascii="Times New Roman" w:hAnsi="Times New Roman" w:cs="Times New Roman"/>
        </w:rPr>
        <w:t xml:space="preserve">, определяемая </w:t>
      </w:r>
      <w:r>
        <w:rPr>
          <w:rFonts w:ascii="Times New Roman" w:hAnsi="Times New Roman" w:cs="Times New Roman"/>
        </w:rPr>
        <w:t>М</w:t>
      </w:r>
      <w:r w:rsidRPr="001E5CE8">
        <w:rPr>
          <w:rFonts w:ascii="Times New Roman" w:hAnsi="Times New Roman" w:cs="Times New Roman"/>
        </w:rPr>
        <w:t>етодик</w:t>
      </w:r>
      <w:r>
        <w:rPr>
          <w:rFonts w:ascii="Times New Roman" w:hAnsi="Times New Roman" w:cs="Times New Roman"/>
        </w:rPr>
        <w:t>ой</w:t>
      </w:r>
      <w:r w:rsidRPr="001E5CE8">
        <w:rPr>
          <w:rFonts w:ascii="Times New Roman" w:hAnsi="Times New Roman" w:cs="Times New Roman"/>
        </w:rPr>
        <w:t xml:space="preserve"> </w:t>
      </w:r>
      <w:r w:rsidRPr="0030368F">
        <w:rPr>
          <w:rFonts w:ascii="Times New Roman" w:hAnsi="Times New Roman" w:cs="Times New Roman"/>
        </w:rPr>
        <w:t>расчета начальной (минимальной) цены договора на организацию ярмарок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</w:t>
      </w:r>
      <w:r>
        <w:rPr>
          <w:rFonts w:ascii="Times New Roman" w:hAnsi="Times New Roman" w:cs="Times New Roman"/>
        </w:rPr>
        <w:t>.</w:t>
      </w:r>
    </w:p>
    <w:sectPr w:rsidR="00B21601" w:rsidRPr="00A820D5" w:rsidSect="00D63AB2">
      <w:headerReference w:type="default" r:id="rId14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00754" w14:textId="77777777" w:rsidR="004B34B4" w:rsidRDefault="004B34B4" w:rsidP="00A64A86">
      <w:pPr>
        <w:spacing w:after="0" w:line="240" w:lineRule="auto"/>
      </w:pPr>
      <w:r>
        <w:separator/>
      </w:r>
    </w:p>
  </w:endnote>
  <w:endnote w:type="continuationSeparator" w:id="0">
    <w:p w14:paraId="651E699F" w14:textId="77777777" w:rsidR="004B34B4" w:rsidRDefault="004B34B4" w:rsidP="00A6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594B1" w14:textId="77777777" w:rsidR="004B34B4" w:rsidRDefault="004B34B4" w:rsidP="00A64A86">
      <w:pPr>
        <w:spacing w:after="0" w:line="240" w:lineRule="auto"/>
      </w:pPr>
      <w:r>
        <w:separator/>
      </w:r>
    </w:p>
  </w:footnote>
  <w:footnote w:type="continuationSeparator" w:id="0">
    <w:p w14:paraId="35CD8F17" w14:textId="77777777" w:rsidR="004B34B4" w:rsidRDefault="004B34B4" w:rsidP="00A6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196349"/>
      <w:docPartObj>
        <w:docPartGallery w:val="Page Numbers (Top of Page)"/>
        <w:docPartUnique/>
      </w:docPartObj>
    </w:sdtPr>
    <w:sdtEndPr/>
    <w:sdtContent>
      <w:p w14:paraId="3F3DF6DE" w14:textId="42FA8032" w:rsidR="004B1144" w:rsidRDefault="004B11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0D5">
          <w:rPr>
            <w:noProof/>
          </w:rPr>
          <w:t>4</w:t>
        </w:r>
        <w:r>
          <w:fldChar w:fldCharType="end"/>
        </w:r>
      </w:p>
    </w:sdtContent>
  </w:sdt>
  <w:p w14:paraId="1AC771CF" w14:textId="77777777" w:rsidR="004B1144" w:rsidRDefault="004B11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90"/>
    <w:rsid w:val="00021F7C"/>
    <w:rsid w:val="00026E93"/>
    <w:rsid w:val="0006739C"/>
    <w:rsid w:val="000C663A"/>
    <w:rsid w:val="00171EF7"/>
    <w:rsid w:val="00172FA9"/>
    <w:rsid w:val="00197C6C"/>
    <w:rsid w:val="001E7E18"/>
    <w:rsid w:val="001F390A"/>
    <w:rsid w:val="002777B6"/>
    <w:rsid w:val="002815BE"/>
    <w:rsid w:val="002C1F0C"/>
    <w:rsid w:val="003137DE"/>
    <w:rsid w:val="003345FB"/>
    <w:rsid w:val="00351763"/>
    <w:rsid w:val="00353153"/>
    <w:rsid w:val="003C1656"/>
    <w:rsid w:val="003E2FF5"/>
    <w:rsid w:val="00426AB1"/>
    <w:rsid w:val="00434E0B"/>
    <w:rsid w:val="00482A5F"/>
    <w:rsid w:val="00485F1B"/>
    <w:rsid w:val="004B1144"/>
    <w:rsid w:val="004B34B4"/>
    <w:rsid w:val="004C3B68"/>
    <w:rsid w:val="004F3664"/>
    <w:rsid w:val="00530518"/>
    <w:rsid w:val="00536E4A"/>
    <w:rsid w:val="005547F1"/>
    <w:rsid w:val="005C273D"/>
    <w:rsid w:val="005C4F01"/>
    <w:rsid w:val="005D42C0"/>
    <w:rsid w:val="005E3625"/>
    <w:rsid w:val="00685C62"/>
    <w:rsid w:val="006F454A"/>
    <w:rsid w:val="00713C92"/>
    <w:rsid w:val="0072202A"/>
    <w:rsid w:val="00745ACB"/>
    <w:rsid w:val="0074795C"/>
    <w:rsid w:val="007610E9"/>
    <w:rsid w:val="0077470F"/>
    <w:rsid w:val="007B6096"/>
    <w:rsid w:val="007F3EBD"/>
    <w:rsid w:val="00825ACB"/>
    <w:rsid w:val="00873DF5"/>
    <w:rsid w:val="00883C66"/>
    <w:rsid w:val="00885908"/>
    <w:rsid w:val="008A072C"/>
    <w:rsid w:val="008A1AD6"/>
    <w:rsid w:val="008A57D1"/>
    <w:rsid w:val="008E22AB"/>
    <w:rsid w:val="009056A4"/>
    <w:rsid w:val="009568E9"/>
    <w:rsid w:val="009639A7"/>
    <w:rsid w:val="00971680"/>
    <w:rsid w:val="00990701"/>
    <w:rsid w:val="00993586"/>
    <w:rsid w:val="009A2063"/>
    <w:rsid w:val="00A00941"/>
    <w:rsid w:val="00A64A86"/>
    <w:rsid w:val="00A803B3"/>
    <w:rsid w:val="00A820D5"/>
    <w:rsid w:val="00AB512E"/>
    <w:rsid w:val="00AF1461"/>
    <w:rsid w:val="00AF2A03"/>
    <w:rsid w:val="00AF5307"/>
    <w:rsid w:val="00B10D0C"/>
    <w:rsid w:val="00B21601"/>
    <w:rsid w:val="00B24457"/>
    <w:rsid w:val="00B4491B"/>
    <w:rsid w:val="00B71D69"/>
    <w:rsid w:val="00B74A35"/>
    <w:rsid w:val="00B85D59"/>
    <w:rsid w:val="00BF052D"/>
    <w:rsid w:val="00C01F23"/>
    <w:rsid w:val="00C1221F"/>
    <w:rsid w:val="00C1737B"/>
    <w:rsid w:val="00C21A95"/>
    <w:rsid w:val="00C27E49"/>
    <w:rsid w:val="00D060BB"/>
    <w:rsid w:val="00D32793"/>
    <w:rsid w:val="00D63AB2"/>
    <w:rsid w:val="00D645F9"/>
    <w:rsid w:val="00D8461A"/>
    <w:rsid w:val="00DB4A79"/>
    <w:rsid w:val="00DF5C9A"/>
    <w:rsid w:val="00E111E8"/>
    <w:rsid w:val="00ED0E90"/>
    <w:rsid w:val="00F1566E"/>
    <w:rsid w:val="00F66E71"/>
    <w:rsid w:val="00F74FD5"/>
    <w:rsid w:val="00F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6A52E"/>
  <w15:docId w15:val="{ABF5CB93-F8D7-4734-9D77-3919BFAB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0E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0E9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3">
    <w:name w:val="Подпись к таблице"/>
    <w:basedOn w:val="a0"/>
    <w:rsid w:val="00C01F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66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66E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66E71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rsid w:val="00F66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66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A6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A86"/>
  </w:style>
  <w:style w:type="paragraph" w:styleId="a6">
    <w:name w:val="footer"/>
    <w:basedOn w:val="a"/>
    <w:link w:val="a7"/>
    <w:uiPriority w:val="99"/>
    <w:unhideWhenUsed/>
    <w:rsid w:val="00A64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A86"/>
  </w:style>
  <w:style w:type="paragraph" w:styleId="a8">
    <w:name w:val="Normal (Web)"/>
    <w:basedOn w:val="a"/>
    <w:uiPriority w:val="99"/>
    <w:semiHidden/>
    <w:unhideWhenUsed/>
    <w:rsid w:val="0019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95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F4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99/5377b0e3c206aea2e91c9ae02688db5bdc59685c/" TargetMode="External"/><Relationship Id="rId13" Type="http://schemas.openxmlformats.org/officeDocument/2006/relationships/hyperlink" Target="https://www.consultant.ru/document/cons_doc_LAW_483024/92c21101873860b815e2a0b883ec15dd4f6bebb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2899/a142cf846a2c4b405e65e6ee1d847270a8b77ae9/" TargetMode="External"/><Relationship Id="rId12" Type="http://schemas.openxmlformats.org/officeDocument/2006/relationships/hyperlink" Target="https://www.consultant.ru/document/cons_doc_LAW_482463/a74ca4364cb5aa0d95db2b7636907af350ab52c8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2144/" TargetMode="External"/><Relationship Id="rId11" Type="http://schemas.openxmlformats.org/officeDocument/2006/relationships/hyperlink" Target="https://www.consultant.ru/document/cons_doc_LAW_482463/0108932a3c6234f73590b25799588ada492deb23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82463/6411e005f539b666d6f360f202cb7b1c23fe27c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82463/7cb5d9b7f75fd72853e0610988cc9f6fdd08802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Сомова</dc:creator>
  <cp:lastModifiedBy>Татьяна Побежимова</cp:lastModifiedBy>
  <cp:revision>8</cp:revision>
  <cp:lastPrinted>2024-12-26T10:47:00Z</cp:lastPrinted>
  <dcterms:created xsi:type="dcterms:W3CDTF">2024-12-26T09:09:00Z</dcterms:created>
  <dcterms:modified xsi:type="dcterms:W3CDTF">2024-12-27T07:14:00Z</dcterms:modified>
</cp:coreProperties>
</file>